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08" w:type="dxa"/>
        <w:tblLayout w:type="fixed"/>
        <w:tblLook w:val="04A0" w:firstRow="1" w:lastRow="0" w:firstColumn="1" w:lastColumn="0" w:noHBand="0" w:noVBand="1"/>
      </w:tblPr>
      <w:tblGrid>
        <w:gridCol w:w="34"/>
        <w:gridCol w:w="817"/>
        <w:gridCol w:w="1451"/>
        <w:gridCol w:w="267"/>
        <w:gridCol w:w="6929"/>
      </w:tblGrid>
      <w:tr w:rsidR="00C92729" w:rsidRPr="00575235" w:rsidTr="00801432">
        <w:tc>
          <w:tcPr>
            <w:tcW w:w="2569" w:type="dxa"/>
            <w:gridSpan w:val="4"/>
            <w:shd w:val="clear" w:color="auto" w:fill="auto"/>
          </w:tcPr>
          <w:p w:rsidR="00F445B1" w:rsidRPr="00BA3305" w:rsidRDefault="00F445B1" w:rsidP="00BA3305">
            <w:pPr>
              <w:tabs>
                <w:tab w:val="left" w:pos="8647"/>
              </w:tabs>
              <w:ind w:left="426" w:right="1076" w:hanging="426"/>
              <w:rPr>
                <w:rStyle w:val="Firstpagetablebold"/>
                <w:rFonts w:cs="Arial"/>
                <w:color w:val="auto"/>
              </w:rPr>
            </w:pPr>
            <w:r w:rsidRPr="00BA3305">
              <w:rPr>
                <w:rStyle w:val="Firstpagetablebold"/>
                <w:rFonts w:cs="Arial"/>
                <w:color w:val="auto"/>
              </w:rPr>
              <w:t>To</w:t>
            </w:r>
            <w:r w:rsidR="005C35A5" w:rsidRPr="00BA3305">
              <w:rPr>
                <w:rStyle w:val="Firstpagetablebold"/>
                <w:rFonts w:cs="Arial"/>
                <w:color w:val="auto"/>
              </w:rPr>
              <w:t>:</w:t>
            </w:r>
          </w:p>
        </w:tc>
        <w:tc>
          <w:tcPr>
            <w:tcW w:w="6929" w:type="dxa"/>
            <w:shd w:val="clear" w:color="auto" w:fill="auto"/>
          </w:tcPr>
          <w:p w:rsidR="00F445B1" w:rsidRPr="00575235" w:rsidRDefault="00810F45" w:rsidP="00801432">
            <w:pPr>
              <w:tabs>
                <w:tab w:val="left" w:pos="8647"/>
              </w:tabs>
              <w:ind w:right="1076"/>
              <w:rPr>
                <w:rStyle w:val="Firstpagetablebold"/>
                <w:rFonts w:cs="Arial"/>
                <w:color w:val="auto"/>
              </w:rPr>
            </w:pPr>
            <w:r>
              <w:rPr>
                <w:rStyle w:val="Firstpagetablebold"/>
                <w:rFonts w:cs="Arial"/>
                <w:color w:val="auto"/>
              </w:rPr>
              <w:t>Shareholder and Joint Venture Group</w:t>
            </w:r>
          </w:p>
        </w:tc>
      </w:tr>
      <w:tr w:rsidR="00C92729" w:rsidRPr="00575235" w:rsidTr="00801432">
        <w:tc>
          <w:tcPr>
            <w:tcW w:w="2569" w:type="dxa"/>
            <w:gridSpan w:val="4"/>
            <w:shd w:val="clear" w:color="auto" w:fill="auto"/>
          </w:tcPr>
          <w:p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Dat</w:t>
            </w:r>
            <w:r w:rsidR="005C35A5" w:rsidRPr="00575235">
              <w:rPr>
                <w:rStyle w:val="Firstpagetablebold"/>
                <w:rFonts w:cs="Arial"/>
                <w:color w:val="auto"/>
              </w:rPr>
              <w:t>e:</w:t>
            </w:r>
          </w:p>
        </w:tc>
        <w:tc>
          <w:tcPr>
            <w:tcW w:w="6929" w:type="dxa"/>
            <w:shd w:val="clear" w:color="auto" w:fill="auto"/>
          </w:tcPr>
          <w:p w:rsidR="00F445B1" w:rsidRPr="00575235" w:rsidRDefault="00810F45" w:rsidP="00912D16">
            <w:pPr>
              <w:tabs>
                <w:tab w:val="left" w:pos="8647"/>
              </w:tabs>
              <w:ind w:right="1076"/>
              <w:rPr>
                <w:rFonts w:cs="Arial"/>
                <w:b/>
                <w:color w:val="auto"/>
              </w:rPr>
            </w:pPr>
            <w:r>
              <w:rPr>
                <w:rFonts w:cs="Arial"/>
                <w:b/>
                <w:color w:val="auto"/>
              </w:rPr>
              <w:t xml:space="preserve">Wednesday </w:t>
            </w:r>
            <w:r w:rsidR="00912D16">
              <w:rPr>
                <w:rFonts w:cs="Arial"/>
                <w:b/>
                <w:color w:val="auto"/>
              </w:rPr>
              <w:t>2</w:t>
            </w:r>
            <w:r w:rsidR="00912D16" w:rsidRPr="00912D16">
              <w:rPr>
                <w:rFonts w:cs="Arial"/>
                <w:b/>
                <w:color w:val="auto"/>
                <w:vertAlign w:val="superscript"/>
              </w:rPr>
              <w:t>nd</w:t>
            </w:r>
            <w:r w:rsidR="00912D16">
              <w:rPr>
                <w:rFonts w:cs="Arial"/>
                <w:b/>
                <w:color w:val="auto"/>
              </w:rPr>
              <w:t xml:space="preserve"> November 2022</w:t>
            </w:r>
          </w:p>
        </w:tc>
      </w:tr>
      <w:tr w:rsidR="00C92729" w:rsidRPr="00575235" w:rsidTr="00801432">
        <w:tc>
          <w:tcPr>
            <w:tcW w:w="2569" w:type="dxa"/>
            <w:gridSpan w:val="4"/>
            <w:shd w:val="clear" w:color="auto" w:fill="auto"/>
          </w:tcPr>
          <w:p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Report of</w:t>
            </w:r>
            <w:r w:rsidR="005C35A5" w:rsidRPr="00575235">
              <w:rPr>
                <w:rStyle w:val="Firstpagetablebold"/>
                <w:rFonts w:cs="Arial"/>
                <w:color w:val="auto"/>
              </w:rPr>
              <w:t>:</w:t>
            </w:r>
          </w:p>
        </w:tc>
        <w:tc>
          <w:tcPr>
            <w:tcW w:w="6929" w:type="dxa"/>
            <w:shd w:val="clear" w:color="auto" w:fill="auto"/>
          </w:tcPr>
          <w:p w:rsidR="00F445B1" w:rsidRPr="00575235" w:rsidRDefault="00AE49A8" w:rsidP="00CA78B8">
            <w:pPr>
              <w:tabs>
                <w:tab w:val="left" w:pos="8647"/>
              </w:tabs>
              <w:ind w:right="1076"/>
              <w:rPr>
                <w:rStyle w:val="Firstpagetablebold"/>
                <w:rFonts w:cs="Arial"/>
                <w:color w:val="auto"/>
              </w:rPr>
            </w:pPr>
            <w:r>
              <w:rPr>
                <w:rStyle w:val="Firstpagetablebold"/>
                <w:rFonts w:cs="Arial"/>
                <w:color w:val="auto"/>
              </w:rPr>
              <w:t>Sarah Knight, Head of Development</w:t>
            </w:r>
            <w:r w:rsidR="00C0652D" w:rsidRPr="00575235">
              <w:rPr>
                <w:rStyle w:val="Firstpagetablebold"/>
                <w:rFonts w:cs="Arial"/>
                <w:color w:val="auto"/>
              </w:rPr>
              <w:t xml:space="preserve"> </w:t>
            </w:r>
          </w:p>
        </w:tc>
      </w:tr>
      <w:tr w:rsidR="00C92729" w:rsidRPr="00575235" w:rsidTr="00801432">
        <w:tc>
          <w:tcPr>
            <w:tcW w:w="2569" w:type="dxa"/>
            <w:gridSpan w:val="4"/>
            <w:shd w:val="clear" w:color="auto" w:fill="auto"/>
          </w:tcPr>
          <w:p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 xml:space="preserve">Title of Report: </w:t>
            </w:r>
          </w:p>
        </w:tc>
        <w:tc>
          <w:tcPr>
            <w:tcW w:w="6929" w:type="dxa"/>
            <w:shd w:val="clear" w:color="auto" w:fill="auto"/>
          </w:tcPr>
          <w:p w:rsidR="006D052F" w:rsidRPr="00575235" w:rsidRDefault="000947DC" w:rsidP="00203C5C">
            <w:pPr>
              <w:tabs>
                <w:tab w:val="left" w:pos="8647"/>
              </w:tabs>
              <w:spacing w:after="0"/>
              <w:ind w:right="1076"/>
              <w:rPr>
                <w:rStyle w:val="Firstpagetablebold"/>
                <w:rFonts w:cs="Arial"/>
                <w:color w:val="auto"/>
              </w:rPr>
            </w:pPr>
            <w:r>
              <w:rPr>
                <w:rStyle w:val="Firstpagetablebold"/>
                <w:rFonts w:cs="Arial"/>
                <w:color w:val="auto"/>
              </w:rPr>
              <w:t>Quarterly P</w:t>
            </w:r>
            <w:r w:rsidR="00C0652D" w:rsidRPr="00575235">
              <w:rPr>
                <w:rStyle w:val="Firstpagetablebold"/>
                <w:rFonts w:cs="Arial"/>
                <w:color w:val="auto"/>
              </w:rPr>
              <w:t xml:space="preserve">rogress </w:t>
            </w:r>
            <w:r>
              <w:rPr>
                <w:rStyle w:val="Firstpagetablebold"/>
                <w:rFonts w:cs="Arial"/>
                <w:color w:val="auto"/>
              </w:rPr>
              <w:t>R</w:t>
            </w:r>
            <w:r w:rsidR="00C0652D" w:rsidRPr="00575235">
              <w:rPr>
                <w:rStyle w:val="Firstpagetablebold"/>
                <w:rFonts w:cs="Arial"/>
                <w:color w:val="auto"/>
              </w:rPr>
              <w:t>eport rela</w:t>
            </w:r>
            <w:r>
              <w:rPr>
                <w:rStyle w:val="Firstpagetablebold"/>
                <w:rFonts w:cs="Arial"/>
                <w:color w:val="auto"/>
              </w:rPr>
              <w:t xml:space="preserve">ting to Barton </w:t>
            </w:r>
            <w:r w:rsidR="00CA78B8">
              <w:rPr>
                <w:rStyle w:val="Firstpagetablebold"/>
                <w:rFonts w:cs="Arial"/>
                <w:color w:val="auto"/>
              </w:rPr>
              <w:t>Oxford LLP</w:t>
            </w:r>
          </w:p>
          <w:p w:rsidR="00737C85" w:rsidRPr="00575235" w:rsidRDefault="00C0652D" w:rsidP="00203C5C">
            <w:pPr>
              <w:tabs>
                <w:tab w:val="left" w:pos="8647"/>
              </w:tabs>
              <w:spacing w:after="0"/>
              <w:ind w:right="1076"/>
              <w:rPr>
                <w:rStyle w:val="Firstpagetablebold"/>
                <w:rFonts w:cs="Arial"/>
                <w:color w:val="auto"/>
              </w:rPr>
            </w:pPr>
            <w:r w:rsidRPr="00575235">
              <w:rPr>
                <w:rStyle w:val="Firstpagetablebold"/>
                <w:rFonts w:cs="Arial"/>
                <w:color w:val="auto"/>
              </w:rPr>
              <w:t xml:space="preserve"> </w:t>
            </w:r>
          </w:p>
        </w:tc>
      </w:tr>
      <w:tr w:rsidR="00D5547E" w:rsidRPr="00575235" w:rsidTr="00801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34" w:type="dxa"/>
          <w:trHeight w:val="445"/>
        </w:trPr>
        <w:tc>
          <w:tcPr>
            <w:tcW w:w="9464" w:type="dxa"/>
            <w:gridSpan w:val="4"/>
            <w:tcBorders>
              <w:bottom w:val="single" w:sz="8" w:space="0" w:color="000000"/>
            </w:tcBorders>
            <w:hideMark/>
          </w:tcPr>
          <w:p w:rsidR="00CC68B0" w:rsidRPr="00575235" w:rsidRDefault="00745BF0" w:rsidP="00203C5C">
            <w:pPr>
              <w:tabs>
                <w:tab w:val="left" w:pos="8647"/>
              </w:tabs>
              <w:ind w:left="601" w:right="1076"/>
              <w:jc w:val="center"/>
              <w:rPr>
                <w:rStyle w:val="Firstpagetablebold"/>
                <w:rFonts w:cs="Arial"/>
              </w:rPr>
            </w:pPr>
            <w:r w:rsidRPr="00575235">
              <w:rPr>
                <w:rStyle w:val="Firstpagetablebold"/>
                <w:rFonts w:cs="Arial"/>
              </w:rPr>
              <w:t>Summary and r</w:t>
            </w:r>
            <w:r w:rsidR="00D5547E" w:rsidRPr="00575235">
              <w:rPr>
                <w:rStyle w:val="Firstpagetablebold"/>
                <w:rFonts w:cs="Arial"/>
              </w:rPr>
              <w:t>ecommendations</w:t>
            </w:r>
          </w:p>
        </w:tc>
      </w:tr>
      <w:tr w:rsidR="00D5547E" w:rsidRPr="00575235" w:rsidTr="00801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34" w:type="dxa"/>
          <w:trHeight w:val="608"/>
        </w:trPr>
        <w:tc>
          <w:tcPr>
            <w:tcW w:w="2268" w:type="dxa"/>
            <w:gridSpan w:val="2"/>
            <w:tcBorders>
              <w:top w:val="single" w:sz="8" w:space="0" w:color="000000"/>
              <w:left w:val="single" w:sz="8" w:space="0" w:color="000000"/>
              <w:bottom w:val="single" w:sz="4" w:space="0" w:color="auto"/>
              <w:right w:val="nil"/>
            </w:tcBorders>
            <w:hideMark/>
          </w:tcPr>
          <w:p w:rsidR="00D5547E" w:rsidRPr="00575235" w:rsidRDefault="00D5547E" w:rsidP="0041652A">
            <w:pPr>
              <w:tabs>
                <w:tab w:val="left" w:pos="8647"/>
              </w:tabs>
              <w:ind w:right="459"/>
              <w:rPr>
                <w:rStyle w:val="Firstpagetablebold"/>
                <w:rFonts w:cs="Arial"/>
              </w:rPr>
            </w:pPr>
            <w:r w:rsidRPr="00575235">
              <w:rPr>
                <w:rStyle w:val="Firstpagetablebold"/>
                <w:rFonts w:cs="Arial"/>
              </w:rPr>
              <w:t>Purpose of report:</w:t>
            </w:r>
          </w:p>
        </w:tc>
        <w:tc>
          <w:tcPr>
            <w:tcW w:w="7196" w:type="dxa"/>
            <w:gridSpan w:val="2"/>
            <w:tcBorders>
              <w:top w:val="single" w:sz="8" w:space="0" w:color="000000"/>
              <w:left w:val="nil"/>
              <w:bottom w:val="single" w:sz="4" w:space="0" w:color="auto"/>
              <w:right w:val="single" w:sz="8" w:space="0" w:color="000000"/>
            </w:tcBorders>
          </w:tcPr>
          <w:p w:rsidR="00591686" w:rsidRPr="00575235" w:rsidRDefault="00591686" w:rsidP="00452055">
            <w:pPr>
              <w:tabs>
                <w:tab w:val="left" w:pos="8647"/>
              </w:tabs>
              <w:ind w:right="1076"/>
              <w:rPr>
                <w:rFonts w:cs="Arial"/>
              </w:rPr>
            </w:pPr>
            <w:r w:rsidRPr="00575235">
              <w:rPr>
                <w:rFonts w:cs="Arial"/>
              </w:rPr>
              <w:t>This report provides an update into the activities of Barton Oxford LLP</w:t>
            </w:r>
            <w:r w:rsidR="0033740F">
              <w:rPr>
                <w:rFonts w:cs="Arial"/>
              </w:rPr>
              <w:t xml:space="preserve"> (BOLLP)</w:t>
            </w:r>
            <w:r w:rsidRPr="00575235">
              <w:rPr>
                <w:rFonts w:cs="Arial"/>
              </w:rPr>
              <w:t xml:space="preserve"> over the</w:t>
            </w:r>
            <w:r w:rsidR="00A97094">
              <w:rPr>
                <w:rFonts w:cs="Arial"/>
              </w:rPr>
              <w:t xml:space="preserve"> past </w:t>
            </w:r>
            <w:bookmarkStart w:id="0" w:name="_GoBack"/>
            <w:bookmarkEnd w:id="0"/>
            <w:r w:rsidRPr="00575235">
              <w:rPr>
                <w:rFonts w:cs="Arial"/>
              </w:rPr>
              <w:t>quarter</w:t>
            </w:r>
            <w:r w:rsidR="000947DC">
              <w:rPr>
                <w:rFonts w:cs="Arial"/>
              </w:rPr>
              <w:t>.</w:t>
            </w:r>
          </w:p>
        </w:tc>
      </w:tr>
      <w:tr w:rsidR="005F7F7E" w:rsidRPr="00575235" w:rsidTr="00801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34" w:type="dxa"/>
          <w:trHeight w:val="319"/>
        </w:trPr>
        <w:tc>
          <w:tcPr>
            <w:tcW w:w="9464" w:type="dxa"/>
            <w:gridSpan w:val="4"/>
            <w:tcBorders>
              <w:top w:val="single" w:sz="4" w:space="0" w:color="auto"/>
              <w:bottom w:val="nil"/>
            </w:tcBorders>
          </w:tcPr>
          <w:p w:rsidR="00CA66C2" w:rsidRDefault="005F7F7E" w:rsidP="00203C5C">
            <w:pPr>
              <w:tabs>
                <w:tab w:val="left" w:pos="8647"/>
              </w:tabs>
              <w:ind w:right="1076"/>
              <w:rPr>
                <w:rStyle w:val="Firstpagetablebold"/>
                <w:rFonts w:cs="Arial"/>
              </w:rPr>
            </w:pPr>
            <w:r w:rsidRPr="00575235">
              <w:rPr>
                <w:rStyle w:val="Firstpagetablebold"/>
                <w:rFonts w:cs="Arial"/>
              </w:rPr>
              <w:t>Recommendation(s):</w:t>
            </w:r>
          </w:p>
          <w:p w:rsidR="005F7F7E" w:rsidRPr="00575235" w:rsidRDefault="00E13656" w:rsidP="00203C5C">
            <w:pPr>
              <w:tabs>
                <w:tab w:val="left" w:pos="8647"/>
              </w:tabs>
              <w:ind w:right="1076"/>
              <w:rPr>
                <w:rFonts w:cs="Arial"/>
              </w:rPr>
            </w:pPr>
            <w:r w:rsidRPr="00575235">
              <w:rPr>
                <w:rStyle w:val="Firstpagetablebold"/>
                <w:rFonts w:cs="Arial"/>
              </w:rPr>
              <w:t>There is a resolution to</w:t>
            </w:r>
            <w:r w:rsidR="005F7F7E" w:rsidRPr="00575235">
              <w:rPr>
                <w:rStyle w:val="Firstpagetablebold"/>
                <w:rFonts w:cs="Arial"/>
              </w:rPr>
              <w:t>:</w:t>
            </w:r>
          </w:p>
        </w:tc>
      </w:tr>
      <w:tr w:rsidR="0030208D" w:rsidRPr="00575235" w:rsidTr="00801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34" w:type="dxa"/>
          <w:trHeight w:val="307"/>
        </w:trPr>
        <w:tc>
          <w:tcPr>
            <w:tcW w:w="817" w:type="dxa"/>
            <w:tcBorders>
              <w:top w:val="nil"/>
              <w:left w:val="single" w:sz="8" w:space="0" w:color="000000"/>
              <w:bottom w:val="single" w:sz="4" w:space="0" w:color="auto"/>
              <w:right w:val="nil"/>
            </w:tcBorders>
          </w:tcPr>
          <w:p w:rsidR="0030208D" w:rsidRPr="00575235" w:rsidRDefault="0030208D" w:rsidP="00187A9B">
            <w:pPr>
              <w:pStyle w:val="ListParagraph"/>
              <w:numPr>
                <w:ilvl w:val="0"/>
                <w:numId w:val="6"/>
              </w:numPr>
              <w:tabs>
                <w:tab w:val="clear" w:pos="426"/>
                <w:tab w:val="left" w:pos="8647"/>
              </w:tabs>
              <w:ind w:left="317" w:right="1076" w:hanging="141"/>
              <w:jc w:val="center"/>
              <w:rPr>
                <w:rFonts w:cs="Arial"/>
              </w:rPr>
            </w:pPr>
          </w:p>
        </w:tc>
        <w:tc>
          <w:tcPr>
            <w:tcW w:w="8647" w:type="dxa"/>
            <w:gridSpan w:val="3"/>
            <w:tcBorders>
              <w:top w:val="nil"/>
              <w:left w:val="nil"/>
              <w:bottom w:val="single" w:sz="4" w:space="0" w:color="auto"/>
              <w:right w:val="single" w:sz="8" w:space="0" w:color="000000"/>
            </w:tcBorders>
            <w:shd w:val="clear" w:color="auto" w:fill="auto"/>
          </w:tcPr>
          <w:p w:rsidR="0030208D" w:rsidRPr="00575235" w:rsidRDefault="00E13656" w:rsidP="00477BE1">
            <w:pPr>
              <w:spacing w:after="0"/>
              <w:ind w:right="1076"/>
              <w:contextualSpacing/>
              <w:jc w:val="both"/>
              <w:rPr>
                <w:rFonts w:cs="Arial"/>
              </w:rPr>
            </w:pPr>
            <w:r w:rsidRPr="00575235">
              <w:rPr>
                <w:rFonts w:cs="Arial"/>
              </w:rPr>
              <w:t>Note the contents of the report</w:t>
            </w:r>
            <w:r w:rsidR="002A2D09">
              <w:rPr>
                <w:rFonts w:cs="Arial"/>
              </w:rPr>
              <w:t>.</w:t>
            </w:r>
            <w:r w:rsidRPr="00575235">
              <w:rPr>
                <w:rFonts w:cs="Arial"/>
              </w:rPr>
              <w:t xml:space="preserve"> </w:t>
            </w:r>
          </w:p>
        </w:tc>
      </w:tr>
    </w:tbl>
    <w:p w:rsidR="00CE544A" w:rsidRPr="00575235" w:rsidRDefault="00CE544A" w:rsidP="00203C5C">
      <w:pPr>
        <w:tabs>
          <w:tab w:val="left" w:pos="8647"/>
        </w:tabs>
        <w:ind w:right="1076"/>
        <w:rPr>
          <w:rFonts w:cs="Arial"/>
        </w:rPr>
      </w:pPr>
    </w:p>
    <w:tbl>
      <w:tblPr>
        <w:tblW w:w="947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4"/>
      </w:tblGrid>
      <w:tr w:rsidR="00966D42" w:rsidRPr="00575235" w:rsidTr="00801432">
        <w:trPr>
          <w:trHeight w:val="487"/>
        </w:trPr>
        <w:tc>
          <w:tcPr>
            <w:tcW w:w="9474" w:type="dxa"/>
            <w:tcBorders>
              <w:top w:val="single" w:sz="8" w:space="0" w:color="000000"/>
              <w:left w:val="single" w:sz="8" w:space="0" w:color="000000"/>
              <w:bottom w:val="single" w:sz="8" w:space="0" w:color="000000"/>
              <w:right w:val="single" w:sz="8" w:space="0" w:color="000000"/>
            </w:tcBorders>
            <w:shd w:val="clear" w:color="auto" w:fill="auto"/>
          </w:tcPr>
          <w:p w:rsidR="00966D42" w:rsidRPr="00575235" w:rsidRDefault="00966D42" w:rsidP="00203C5C">
            <w:pPr>
              <w:tabs>
                <w:tab w:val="left" w:pos="8647"/>
              </w:tabs>
              <w:ind w:right="1076"/>
              <w:jc w:val="center"/>
              <w:rPr>
                <w:rFonts w:cs="Arial"/>
              </w:rPr>
            </w:pPr>
            <w:r w:rsidRPr="00575235">
              <w:rPr>
                <w:rStyle w:val="Firstpagetablebold"/>
                <w:rFonts w:cs="Arial"/>
              </w:rPr>
              <w:t>Appendices</w:t>
            </w:r>
          </w:p>
        </w:tc>
      </w:tr>
      <w:tr w:rsidR="00DD136C" w:rsidRPr="00575235" w:rsidTr="00CC1DC9">
        <w:trPr>
          <w:trHeight w:val="372"/>
        </w:trPr>
        <w:tc>
          <w:tcPr>
            <w:tcW w:w="9474" w:type="dxa"/>
            <w:tcBorders>
              <w:top w:val="single" w:sz="8" w:space="0" w:color="000000"/>
              <w:left w:val="single" w:sz="8" w:space="0" w:color="000000"/>
              <w:bottom w:val="single" w:sz="4" w:space="0" w:color="auto"/>
              <w:right w:val="single" w:sz="8" w:space="0" w:color="000000"/>
            </w:tcBorders>
            <w:shd w:val="clear" w:color="auto" w:fill="auto"/>
          </w:tcPr>
          <w:p w:rsidR="00DD136C" w:rsidRPr="00575235" w:rsidRDefault="00DD136C" w:rsidP="00CA78B8">
            <w:pPr>
              <w:tabs>
                <w:tab w:val="left" w:pos="8647"/>
              </w:tabs>
              <w:ind w:right="1076"/>
              <w:rPr>
                <w:rFonts w:cs="Arial"/>
                <w:color w:val="auto"/>
              </w:rPr>
            </w:pPr>
            <w:r>
              <w:rPr>
                <w:rFonts w:cs="Arial"/>
                <w:color w:val="auto"/>
              </w:rPr>
              <w:t>None</w:t>
            </w:r>
          </w:p>
        </w:tc>
      </w:tr>
    </w:tbl>
    <w:p w:rsidR="00FB7F38" w:rsidRDefault="00FB7F38" w:rsidP="00203C5C">
      <w:pPr>
        <w:tabs>
          <w:tab w:val="left" w:pos="8647"/>
        </w:tabs>
        <w:spacing w:after="0"/>
        <w:ind w:right="1076"/>
        <w:rPr>
          <w:rFonts w:eastAsiaTheme="minorHAnsi" w:cs="Arial"/>
          <w:color w:val="auto"/>
          <w:lang w:eastAsia="en-US"/>
        </w:rPr>
      </w:pPr>
    </w:p>
    <w:p w:rsidR="0041652A" w:rsidRPr="00575235" w:rsidRDefault="0041652A" w:rsidP="00801432">
      <w:pPr>
        <w:tabs>
          <w:tab w:val="left" w:pos="8647"/>
        </w:tabs>
        <w:spacing w:after="0"/>
        <w:ind w:right="1076"/>
        <w:rPr>
          <w:rFonts w:eastAsiaTheme="minorHAnsi" w:cs="Arial"/>
          <w:color w:val="auto"/>
          <w:lang w:eastAsia="en-US"/>
        </w:rPr>
      </w:pPr>
    </w:p>
    <w:p w:rsidR="00FB7F38" w:rsidRPr="0081117E" w:rsidRDefault="00FB7F38" w:rsidP="0081117E">
      <w:pPr>
        <w:tabs>
          <w:tab w:val="left" w:pos="8647"/>
        </w:tabs>
        <w:ind w:left="426" w:right="1077" w:hanging="426"/>
        <w:rPr>
          <w:rFonts w:eastAsiaTheme="minorHAnsi" w:cs="Arial"/>
          <w:b/>
          <w:color w:val="auto"/>
          <w:lang w:eastAsia="en-US"/>
        </w:rPr>
      </w:pPr>
      <w:r w:rsidRPr="0081117E">
        <w:rPr>
          <w:rFonts w:eastAsiaTheme="minorHAnsi" w:cs="Arial"/>
          <w:b/>
          <w:color w:val="auto"/>
          <w:lang w:eastAsia="en-US"/>
        </w:rPr>
        <w:t xml:space="preserve">Introduction and </w:t>
      </w:r>
      <w:r w:rsidR="008B593E" w:rsidRPr="0081117E">
        <w:rPr>
          <w:rFonts w:eastAsiaTheme="minorHAnsi" w:cs="Arial"/>
          <w:b/>
          <w:color w:val="auto"/>
          <w:lang w:eastAsia="en-US"/>
        </w:rPr>
        <w:t>b</w:t>
      </w:r>
      <w:r w:rsidRPr="0081117E">
        <w:rPr>
          <w:rFonts w:eastAsiaTheme="minorHAnsi" w:cs="Arial"/>
          <w:b/>
          <w:color w:val="auto"/>
          <w:lang w:eastAsia="en-US"/>
        </w:rPr>
        <w:t>ackground</w:t>
      </w:r>
    </w:p>
    <w:p w:rsidR="00922286" w:rsidRDefault="007859F3" w:rsidP="00FB5DE4">
      <w:pPr>
        <w:pStyle w:val="Numberedlist"/>
        <w:numPr>
          <w:ilvl w:val="0"/>
          <w:numId w:val="7"/>
        </w:numPr>
        <w:tabs>
          <w:tab w:val="clear" w:pos="993"/>
        </w:tabs>
        <w:ind w:left="700"/>
        <w:rPr>
          <w:rFonts w:eastAsiaTheme="minorHAnsi"/>
          <w:lang w:eastAsia="en-US"/>
        </w:rPr>
      </w:pPr>
      <w:r w:rsidRPr="00AD78FD">
        <w:rPr>
          <w:rFonts w:eastAsiaTheme="minorHAnsi"/>
          <w:lang w:eastAsia="en-US"/>
        </w:rPr>
        <w:t xml:space="preserve">This is the </w:t>
      </w:r>
      <w:r w:rsidR="001B5B45">
        <w:rPr>
          <w:rFonts w:eastAsiaTheme="minorHAnsi"/>
          <w:lang w:eastAsia="en-US"/>
        </w:rPr>
        <w:t>t</w:t>
      </w:r>
      <w:r w:rsidR="00912D16">
        <w:rPr>
          <w:rFonts w:eastAsiaTheme="minorHAnsi"/>
          <w:lang w:eastAsia="en-US"/>
        </w:rPr>
        <w:t>hirteenth</w:t>
      </w:r>
      <w:r w:rsidRPr="00AD78FD">
        <w:rPr>
          <w:rFonts w:eastAsiaTheme="minorHAnsi"/>
          <w:lang w:eastAsia="en-US"/>
        </w:rPr>
        <w:t xml:space="preserve"> report to the Shar</w:t>
      </w:r>
      <w:r w:rsidR="000947DC" w:rsidRPr="00AD78FD">
        <w:rPr>
          <w:rFonts w:eastAsiaTheme="minorHAnsi"/>
          <w:lang w:eastAsia="en-US"/>
        </w:rPr>
        <w:t>eholder and Joint Venture Group</w:t>
      </w:r>
      <w:r w:rsidR="00E30BB3" w:rsidRPr="00AD78FD">
        <w:rPr>
          <w:rFonts w:eastAsiaTheme="minorHAnsi"/>
          <w:lang w:eastAsia="en-US"/>
        </w:rPr>
        <w:t xml:space="preserve"> covering the period since the previous update in </w:t>
      </w:r>
      <w:r w:rsidR="00912D16">
        <w:rPr>
          <w:rFonts w:eastAsiaTheme="minorHAnsi"/>
          <w:lang w:eastAsia="en-US"/>
        </w:rPr>
        <w:t>June</w:t>
      </w:r>
      <w:r w:rsidR="00F04261">
        <w:rPr>
          <w:rFonts w:eastAsiaTheme="minorHAnsi"/>
          <w:lang w:eastAsia="en-US"/>
        </w:rPr>
        <w:t xml:space="preserve"> 2022</w:t>
      </w:r>
      <w:r w:rsidRPr="00AD78FD">
        <w:rPr>
          <w:rFonts w:eastAsiaTheme="minorHAnsi"/>
          <w:lang w:eastAsia="en-US"/>
        </w:rPr>
        <w:t xml:space="preserve">. </w:t>
      </w:r>
    </w:p>
    <w:p w:rsidR="00FB5DE4" w:rsidRDefault="00FB5DE4" w:rsidP="0081117E">
      <w:pPr>
        <w:pStyle w:val="Numberedlist"/>
        <w:numPr>
          <w:ilvl w:val="0"/>
          <w:numId w:val="0"/>
        </w:numPr>
        <w:tabs>
          <w:tab w:val="clear" w:pos="993"/>
          <w:tab w:val="left" w:pos="8647"/>
        </w:tabs>
        <w:ind w:right="1076"/>
        <w:rPr>
          <w:rFonts w:eastAsiaTheme="minorHAnsi" w:cs="Arial"/>
          <w:b/>
          <w:color w:val="auto"/>
          <w:lang w:eastAsia="en-US"/>
        </w:rPr>
      </w:pPr>
    </w:p>
    <w:p w:rsidR="006D052F" w:rsidRPr="00634AB9" w:rsidRDefault="0057130A" w:rsidP="0081117E">
      <w:pPr>
        <w:pStyle w:val="Numberedlist"/>
        <w:numPr>
          <w:ilvl w:val="0"/>
          <w:numId w:val="0"/>
        </w:numPr>
        <w:tabs>
          <w:tab w:val="clear" w:pos="993"/>
          <w:tab w:val="left" w:pos="8647"/>
        </w:tabs>
        <w:ind w:right="1076"/>
        <w:rPr>
          <w:rFonts w:eastAsiaTheme="minorHAnsi" w:cs="Arial"/>
          <w:b/>
          <w:color w:val="auto"/>
          <w:lang w:eastAsia="en-US"/>
        </w:rPr>
      </w:pPr>
      <w:r w:rsidRPr="00634AB9">
        <w:rPr>
          <w:rFonts w:eastAsiaTheme="minorHAnsi" w:cs="Arial"/>
          <w:b/>
          <w:color w:val="auto"/>
          <w:lang w:eastAsia="en-US"/>
        </w:rPr>
        <w:t xml:space="preserve">Progress Update </w:t>
      </w:r>
      <w:r w:rsidR="003F51F4">
        <w:rPr>
          <w:rFonts w:eastAsiaTheme="minorHAnsi" w:cs="Arial"/>
          <w:b/>
          <w:color w:val="auto"/>
          <w:lang w:eastAsia="en-US"/>
        </w:rPr>
        <w:t xml:space="preserve">on individual phases </w:t>
      </w:r>
    </w:p>
    <w:p w:rsidR="00D938EC" w:rsidRPr="00667551" w:rsidRDefault="00D938EC" w:rsidP="00922286">
      <w:pPr>
        <w:tabs>
          <w:tab w:val="num" w:pos="1430"/>
        </w:tabs>
        <w:spacing w:after="0"/>
        <w:contextualSpacing/>
        <w:jc w:val="both"/>
        <w:rPr>
          <w:rFonts w:cs="Arial"/>
          <w:color w:val="auto"/>
        </w:rPr>
      </w:pPr>
    </w:p>
    <w:p w:rsidR="004D5017" w:rsidRPr="0081117E" w:rsidRDefault="004D5017" w:rsidP="0081117E">
      <w:pPr>
        <w:tabs>
          <w:tab w:val="left" w:pos="8647"/>
        </w:tabs>
        <w:ind w:left="426" w:right="1077" w:hanging="426"/>
        <w:jc w:val="both"/>
        <w:rPr>
          <w:rFonts w:eastAsiaTheme="minorHAnsi" w:cs="Arial"/>
          <w:color w:val="auto"/>
          <w:u w:val="single"/>
          <w:lang w:eastAsia="en-US"/>
        </w:rPr>
      </w:pPr>
      <w:r w:rsidRPr="0081117E">
        <w:rPr>
          <w:rFonts w:eastAsiaTheme="minorHAnsi" w:cs="Arial"/>
          <w:color w:val="auto"/>
          <w:u w:val="single"/>
          <w:lang w:eastAsia="en-US"/>
        </w:rPr>
        <w:t xml:space="preserve">First Phase </w:t>
      </w:r>
      <w:r w:rsidR="001B5B45">
        <w:rPr>
          <w:rFonts w:eastAsiaTheme="minorHAnsi" w:cs="Arial"/>
          <w:color w:val="auto"/>
          <w:u w:val="single"/>
          <w:lang w:eastAsia="en-US"/>
        </w:rPr>
        <w:t>(Developer: Hill)</w:t>
      </w:r>
    </w:p>
    <w:p w:rsidR="001D5EEF" w:rsidRDefault="00AC144C" w:rsidP="007179A2">
      <w:pPr>
        <w:pStyle w:val="ListParagraph"/>
        <w:numPr>
          <w:ilvl w:val="0"/>
          <w:numId w:val="7"/>
        </w:numPr>
        <w:tabs>
          <w:tab w:val="left" w:pos="7797"/>
        </w:tabs>
        <w:ind w:left="700"/>
        <w:jc w:val="both"/>
        <w:rPr>
          <w:rFonts w:eastAsiaTheme="minorHAnsi" w:cs="Arial"/>
          <w:color w:val="auto"/>
          <w:lang w:eastAsia="en-US"/>
        </w:rPr>
      </w:pPr>
      <w:r>
        <w:rPr>
          <w:rFonts w:eastAsiaTheme="minorHAnsi" w:cs="Arial"/>
          <w:color w:val="auto"/>
          <w:lang w:eastAsia="en-US"/>
        </w:rPr>
        <w:t>This phase of 23</w:t>
      </w:r>
      <w:r w:rsidR="008375AA">
        <w:rPr>
          <w:rFonts w:eastAsiaTheme="minorHAnsi" w:cs="Arial"/>
          <w:color w:val="auto"/>
          <w:lang w:eastAsia="en-US"/>
        </w:rPr>
        <w:t>7</w:t>
      </w:r>
      <w:r>
        <w:rPr>
          <w:rFonts w:eastAsiaTheme="minorHAnsi" w:cs="Arial"/>
          <w:color w:val="auto"/>
          <w:lang w:eastAsia="en-US"/>
        </w:rPr>
        <w:t xml:space="preserve"> homes with 95 affordable is now completed with no significant issues to report. </w:t>
      </w:r>
    </w:p>
    <w:p w:rsidR="007179A2" w:rsidRPr="007179A2" w:rsidRDefault="007179A2" w:rsidP="007179A2">
      <w:pPr>
        <w:pStyle w:val="ListParagraph"/>
        <w:numPr>
          <w:ilvl w:val="0"/>
          <w:numId w:val="0"/>
        </w:numPr>
        <w:tabs>
          <w:tab w:val="left" w:pos="7797"/>
        </w:tabs>
        <w:ind w:left="700"/>
        <w:jc w:val="both"/>
        <w:rPr>
          <w:rFonts w:eastAsiaTheme="minorHAnsi" w:cs="Arial"/>
          <w:color w:val="auto"/>
          <w:lang w:eastAsia="en-US"/>
        </w:rPr>
      </w:pPr>
    </w:p>
    <w:p w:rsidR="007859F3" w:rsidRPr="0081117E" w:rsidRDefault="00EA1336" w:rsidP="0081117E">
      <w:pPr>
        <w:tabs>
          <w:tab w:val="left" w:pos="8647"/>
        </w:tabs>
        <w:ind w:left="426" w:right="1077" w:hanging="426"/>
        <w:jc w:val="both"/>
        <w:rPr>
          <w:rFonts w:eastAsiaTheme="minorHAnsi" w:cs="Arial"/>
          <w:color w:val="auto"/>
          <w:u w:val="single"/>
          <w:lang w:eastAsia="en-US"/>
        </w:rPr>
      </w:pPr>
      <w:r w:rsidRPr="0081117E">
        <w:rPr>
          <w:rFonts w:eastAsiaTheme="minorHAnsi" w:cs="Arial"/>
          <w:color w:val="auto"/>
          <w:u w:val="single"/>
          <w:lang w:eastAsia="en-US"/>
        </w:rPr>
        <w:t>Second Phase</w:t>
      </w:r>
      <w:r w:rsidR="001B5B45">
        <w:rPr>
          <w:rFonts w:eastAsiaTheme="minorHAnsi" w:cs="Arial"/>
          <w:color w:val="auto"/>
          <w:u w:val="single"/>
          <w:lang w:eastAsia="en-US"/>
        </w:rPr>
        <w:t xml:space="preserve"> (Developer: </w:t>
      </w:r>
      <w:proofErr w:type="spellStart"/>
      <w:r w:rsidR="001B5B45">
        <w:rPr>
          <w:rFonts w:eastAsiaTheme="minorHAnsi" w:cs="Arial"/>
          <w:color w:val="auto"/>
          <w:u w:val="single"/>
          <w:lang w:eastAsia="en-US"/>
        </w:rPr>
        <w:t>Redrow</w:t>
      </w:r>
      <w:proofErr w:type="spellEnd"/>
      <w:r w:rsidR="001B5B45">
        <w:rPr>
          <w:rFonts w:eastAsiaTheme="minorHAnsi" w:cs="Arial"/>
          <w:color w:val="auto"/>
          <w:u w:val="single"/>
          <w:lang w:eastAsia="en-US"/>
        </w:rPr>
        <w:t>)</w:t>
      </w:r>
    </w:p>
    <w:p w:rsidR="00696156" w:rsidRPr="0081117E" w:rsidRDefault="00696156" w:rsidP="00FB5DE4">
      <w:pPr>
        <w:pStyle w:val="ListParagraph"/>
        <w:numPr>
          <w:ilvl w:val="0"/>
          <w:numId w:val="7"/>
        </w:numPr>
        <w:tabs>
          <w:tab w:val="num" w:pos="1430"/>
        </w:tabs>
        <w:spacing w:after="0"/>
        <w:ind w:left="700"/>
        <w:contextualSpacing/>
        <w:jc w:val="both"/>
        <w:rPr>
          <w:rFonts w:cs="Arial"/>
          <w:color w:val="auto"/>
        </w:rPr>
      </w:pPr>
      <w:r w:rsidRPr="0081117E">
        <w:rPr>
          <w:rFonts w:cs="Arial"/>
        </w:rPr>
        <w:t xml:space="preserve">This phase is to deliver 207 homes in total of which 83 are affordable.  </w:t>
      </w:r>
      <w:r w:rsidR="00C20EBE" w:rsidRPr="0081117E">
        <w:rPr>
          <w:rFonts w:cs="Arial"/>
        </w:rPr>
        <w:t xml:space="preserve">As at the end of </w:t>
      </w:r>
      <w:r w:rsidR="00AC144C">
        <w:rPr>
          <w:rFonts w:cs="Arial"/>
        </w:rPr>
        <w:t>September</w:t>
      </w:r>
      <w:r w:rsidR="00C20EBE" w:rsidRPr="0081117E">
        <w:rPr>
          <w:rFonts w:cs="Arial"/>
        </w:rPr>
        <w:t xml:space="preserve">, </w:t>
      </w:r>
      <w:proofErr w:type="spellStart"/>
      <w:r w:rsidR="00667551" w:rsidRPr="0081117E">
        <w:rPr>
          <w:rFonts w:cs="Arial"/>
        </w:rPr>
        <w:t>Redrow</w:t>
      </w:r>
      <w:proofErr w:type="spellEnd"/>
      <w:r w:rsidR="00667551" w:rsidRPr="0081117E">
        <w:rPr>
          <w:rFonts w:cs="Arial"/>
        </w:rPr>
        <w:t xml:space="preserve"> ha</w:t>
      </w:r>
      <w:r w:rsidR="00C20EBE" w:rsidRPr="0081117E">
        <w:rPr>
          <w:rFonts w:cs="Arial"/>
        </w:rPr>
        <w:t xml:space="preserve">d completed </w:t>
      </w:r>
      <w:r w:rsidR="00831DB8">
        <w:rPr>
          <w:rFonts w:cs="Arial"/>
        </w:rPr>
        <w:t>63</w:t>
      </w:r>
      <w:r w:rsidR="00C20EBE" w:rsidRPr="0081117E">
        <w:rPr>
          <w:rFonts w:cs="Arial"/>
        </w:rPr>
        <w:t xml:space="preserve"> private homes and </w:t>
      </w:r>
      <w:r w:rsidR="00AC144C">
        <w:rPr>
          <w:rFonts w:cs="Arial"/>
        </w:rPr>
        <w:t>26</w:t>
      </w:r>
      <w:r w:rsidR="00C20EBE" w:rsidRPr="0081117E">
        <w:rPr>
          <w:rFonts w:cs="Arial"/>
        </w:rPr>
        <w:t xml:space="preserve"> affordable homes. </w:t>
      </w:r>
      <w:r w:rsidR="00650C9D">
        <w:rPr>
          <w:rFonts w:cs="Arial"/>
        </w:rPr>
        <w:t xml:space="preserve">A further 5 affordable homes are </w:t>
      </w:r>
      <w:r w:rsidR="00FC2D4C">
        <w:rPr>
          <w:rFonts w:cs="Arial"/>
        </w:rPr>
        <w:t>expected</w:t>
      </w:r>
      <w:r w:rsidR="00650C9D">
        <w:rPr>
          <w:rFonts w:cs="Arial"/>
        </w:rPr>
        <w:t xml:space="preserve"> to be handed over in October 2022. </w:t>
      </w:r>
    </w:p>
    <w:p w:rsidR="00696156" w:rsidRDefault="00696156" w:rsidP="00C905BB">
      <w:pPr>
        <w:tabs>
          <w:tab w:val="left" w:pos="8647"/>
        </w:tabs>
        <w:spacing w:after="0"/>
        <w:ind w:left="709" w:right="1076" w:hanging="425"/>
        <w:jc w:val="both"/>
        <w:rPr>
          <w:rFonts w:eastAsiaTheme="minorHAnsi" w:cs="Arial"/>
          <w:color w:val="auto"/>
          <w:lang w:eastAsia="en-US"/>
        </w:rPr>
      </w:pPr>
    </w:p>
    <w:p w:rsidR="00CA66C2" w:rsidRDefault="00CA66C2" w:rsidP="00C905BB">
      <w:pPr>
        <w:tabs>
          <w:tab w:val="left" w:pos="8647"/>
        </w:tabs>
        <w:spacing w:after="0"/>
        <w:ind w:left="709" w:right="1076" w:hanging="425"/>
        <w:jc w:val="both"/>
        <w:rPr>
          <w:rFonts w:eastAsiaTheme="minorHAnsi" w:cs="Arial"/>
          <w:color w:val="auto"/>
          <w:lang w:eastAsia="en-US"/>
        </w:rPr>
      </w:pPr>
    </w:p>
    <w:p w:rsidR="00CA66C2" w:rsidRDefault="00CA66C2" w:rsidP="00C905BB">
      <w:pPr>
        <w:tabs>
          <w:tab w:val="left" w:pos="8647"/>
        </w:tabs>
        <w:spacing w:after="0"/>
        <w:ind w:left="709" w:right="1076" w:hanging="425"/>
        <w:jc w:val="both"/>
        <w:rPr>
          <w:rFonts w:eastAsiaTheme="minorHAnsi" w:cs="Arial"/>
          <w:color w:val="auto"/>
          <w:lang w:eastAsia="en-US"/>
        </w:rPr>
      </w:pPr>
    </w:p>
    <w:p w:rsidR="00CA66C2" w:rsidRPr="00575235" w:rsidRDefault="00CA66C2" w:rsidP="00C905BB">
      <w:pPr>
        <w:tabs>
          <w:tab w:val="left" w:pos="8647"/>
        </w:tabs>
        <w:spacing w:after="0"/>
        <w:ind w:left="709" w:right="1076" w:hanging="425"/>
        <w:jc w:val="both"/>
        <w:rPr>
          <w:rFonts w:eastAsiaTheme="minorHAnsi" w:cs="Arial"/>
          <w:color w:val="auto"/>
          <w:lang w:eastAsia="en-US"/>
        </w:rPr>
      </w:pPr>
    </w:p>
    <w:p w:rsidR="00BA453E" w:rsidRPr="0081117E" w:rsidRDefault="0081117E" w:rsidP="0081117E">
      <w:pPr>
        <w:tabs>
          <w:tab w:val="left" w:pos="8647"/>
        </w:tabs>
        <w:ind w:left="426" w:right="1077" w:hanging="426"/>
        <w:jc w:val="both"/>
        <w:rPr>
          <w:rFonts w:eastAsiaTheme="minorHAnsi" w:cs="Arial"/>
          <w:color w:val="auto"/>
          <w:u w:val="single"/>
          <w:lang w:eastAsia="en-US"/>
        </w:rPr>
      </w:pPr>
      <w:r w:rsidRPr="0081117E">
        <w:rPr>
          <w:rFonts w:eastAsiaTheme="minorHAnsi" w:cs="Arial"/>
          <w:color w:val="auto"/>
          <w:u w:val="single"/>
          <w:lang w:eastAsia="en-US"/>
        </w:rPr>
        <w:t>T</w:t>
      </w:r>
      <w:r w:rsidR="001B5B45">
        <w:rPr>
          <w:rFonts w:eastAsiaTheme="minorHAnsi" w:cs="Arial"/>
          <w:color w:val="auto"/>
          <w:u w:val="single"/>
          <w:lang w:eastAsia="en-US"/>
        </w:rPr>
        <w:t>hird Phase (Developer: Countryside)</w:t>
      </w:r>
    </w:p>
    <w:p w:rsidR="008B11E8" w:rsidRDefault="00922286" w:rsidP="008B11E8">
      <w:pPr>
        <w:pStyle w:val="ListParagraph"/>
        <w:numPr>
          <w:ilvl w:val="0"/>
          <w:numId w:val="7"/>
        </w:numPr>
        <w:autoSpaceDE w:val="0"/>
        <w:autoSpaceDN w:val="0"/>
        <w:adjustRightInd w:val="0"/>
        <w:spacing w:after="0"/>
        <w:ind w:left="700"/>
        <w:contextualSpacing/>
        <w:jc w:val="both"/>
        <w:rPr>
          <w:rFonts w:ascii="Calibri" w:hAnsi="Calibri" w:cs="Calibri"/>
          <w:sz w:val="22"/>
          <w:szCs w:val="22"/>
        </w:rPr>
      </w:pPr>
      <w:r w:rsidRPr="00AC144C">
        <w:rPr>
          <w:rFonts w:cs="Arial"/>
        </w:rPr>
        <w:t xml:space="preserve">Countryside’s </w:t>
      </w:r>
      <w:r w:rsidR="00AC144C" w:rsidRPr="00AC144C">
        <w:rPr>
          <w:rFonts w:cs="Arial"/>
        </w:rPr>
        <w:t xml:space="preserve">planning </w:t>
      </w:r>
      <w:r w:rsidRPr="00AC144C">
        <w:rPr>
          <w:rFonts w:cs="Arial"/>
        </w:rPr>
        <w:t xml:space="preserve">application for </w:t>
      </w:r>
      <w:r w:rsidR="00AC144C" w:rsidRPr="00AC144C">
        <w:rPr>
          <w:rFonts w:cs="Arial"/>
        </w:rPr>
        <w:t xml:space="preserve">434 homes including 174 affordable </w:t>
      </w:r>
      <w:r w:rsidRPr="00AC144C">
        <w:rPr>
          <w:rFonts w:cs="Arial"/>
        </w:rPr>
        <w:t xml:space="preserve">phases 2 and 4 was </w:t>
      </w:r>
      <w:r w:rsidR="00AC144C" w:rsidRPr="00AC144C">
        <w:rPr>
          <w:rFonts w:cs="Arial"/>
        </w:rPr>
        <w:t xml:space="preserve">granted in </w:t>
      </w:r>
      <w:r w:rsidR="00F04261" w:rsidRPr="00AC144C">
        <w:rPr>
          <w:rFonts w:cs="Arial"/>
        </w:rPr>
        <w:t>May 2022</w:t>
      </w:r>
      <w:r w:rsidRPr="00AC144C">
        <w:rPr>
          <w:rFonts w:cs="Arial"/>
        </w:rPr>
        <w:t xml:space="preserve">. </w:t>
      </w:r>
      <w:r w:rsidR="00AC144C" w:rsidRPr="00AC144C">
        <w:rPr>
          <w:rFonts w:cs="Arial"/>
        </w:rPr>
        <w:t xml:space="preserve">They are currently </w:t>
      </w:r>
      <w:r w:rsidR="001B5B45">
        <w:rPr>
          <w:rFonts w:cs="Arial"/>
        </w:rPr>
        <w:t>setting up a compound</w:t>
      </w:r>
      <w:r w:rsidR="008B11E8">
        <w:rPr>
          <w:rFonts w:cs="Arial"/>
        </w:rPr>
        <w:t xml:space="preserve"> on </w:t>
      </w:r>
      <w:r w:rsidR="00AC144C">
        <w:rPr>
          <w:rFonts w:cs="Arial"/>
        </w:rPr>
        <w:t>site</w:t>
      </w:r>
      <w:r w:rsidR="00831DB8">
        <w:rPr>
          <w:rFonts w:cs="Arial"/>
        </w:rPr>
        <w:t xml:space="preserve"> and starting enabling works. They </w:t>
      </w:r>
      <w:r w:rsidR="00AC144C">
        <w:rPr>
          <w:rFonts w:cs="Arial"/>
        </w:rPr>
        <w:t xml:space="preserve">report </w:t>
      </w:r>
      <w:r w:rsidR="00AC144C">
        <w:rPr>
          <w:rFonts w:cs="Arial"/>
        </w:rPr>
        <w:lastRenderedPageBreak/>
        <w:t xml:space="preserve">that </w:t>
      </w:r>
      <w:r w:rsidR="00AC144C" w:rsidRPr="00AC144C">
        <w:rPr>
          <w:rFonts w:cs="Arial"/>
        </w:rPr>
        <w:t>completion of the first unit is anticipated in September 2023 and overall completion of all 43</w:t>
      </w:r>
      <w:r w:rsidR="00650C9D">
        <w:rPr>
          <w:rFonts w:cs="Arial"/>
        </w:rPr>
        <w:t>4</w:t>
      </w:r>
      <w:r w:rsidR="00AC144C" w:rsidRPr="00AC144C">
        <w:rPr>
          <w:rFonts w:cs="Arial"/>
        </w:rPr>
        <w:t xml:space="preserve"> homes anticipated in April 2027.</w:t>
      </w:r>
      <w:r w:rsidR="00AC144C" w:rsidRPr="00AC144C">
        <w:rPr>
          <w:rFonts w:ascii="Calibri" w:hAnsi="Calibri" w:cs="Calibri"/>
          <w:sz w:val="22"/>
          <w:szCs w:val="22"/>
        </w:rPr>
        <w:t xml:space="preserve"> </w:t>
      </w:r>
    </w:p>
    <w:p w:rsidR="008B11E8" w:rsidRDefault="008B11E8" w:rsidP="008B11E8">
      <w:pPr>
        <w:pStyle w:val="ListParagraph"/>
        <w:numPr>
          <w:ilvl w:val="0"/>
          <w:numId w:val="0"/>
        </w:numPr>
        <w:autoSpaceDE w:val="0"/>
        <w:autoSpaceDN w:val="0"/>
        <w:adjustRightInd w:val="0"/>
        <w:spacing w:after="0"/>
        <w:ind w:left="700"/>
        <w:contextualSpacing/>
        <w:jc w:val="both"/>
        <w:rPr>
          <w:rFonts w:ascii="Calibri" w:hAnsi="Calibri" w:cs="Calibri"/>
          <w:sz w:val="22"/>
          <w:szCs w:val="22"/>
        </w:rPr>
      </w:pPr>
    </w:p>
    <w:p w:rsidR="008B11E8" w:rsidRPr="008B11E8" w:rsidRDefault="00AC144C" w:rsidP="008B11E8">
      <w:pPr>
        <w:pStyle w:val="ListParagraph"/>
        <w:numPr>
          <w:ilvl w:val="0"/>
          <w:numId w:val="7"/>
        </w:numPr>
        <w:autoSpaceDE w:val="0"/>
        <w:autoSpaceDN w:val="0"/>
        <w:adjustRightInd w:val="0"/>
        <w:spacing w:after="0"/>
        <w:ind w:left="700"/>
        <w:contextualSpacing/>
        <w:jc w:val="both"/>
        <w:rPr>
          <w:rFonts w:ascii="Calibri" w:hAnsi="Calibri" w:cs="Calibri"/>
          <w:sz w:val="22"/>
          <w:szCs w:val="22"/>
        </w:rPr>
      </w:pPr>
      <w:r w:rsidRPr="008B11E8">
        <w:rPr>
          <w:rFonts w:cs="Arial"/>
        </w:rPr>
        <w:t>As previously reported, Countryside had exchanged on a contract with affordable housing pr</w:t>
      </w:r>
      <w:r w:rsidR="005F0738">
        <w:rPr>
          <w:rFonts w:cs="Arial"/>
        </w:rPr>
        <w:t>ovider, Place</w:t>
      </w:r>
      <w:r w:rsidR="00532C6A">
        <w:rPr>
          <w:rFonts w:cs="Arial"/>
        </w:rPr>
        <w:t>s</w:t>
      </w:r>
      <w:r w:rsidR="005F0738">
        <w:rPr>
          <w:rFonts w:cs="Arial"/>
        </w:rPr>
        <w:t xml:space="preserve"> for People </w:t>
      </w:r>
      <w:r w:rsidR="00820AC7">
        <w:rPr>
          <w:rFonts w:cs="Arial"/>
        </w:rPr>
        <w:t>for</w:t>
      </w:r>
      <w:r w:rsidR="005F0738">
        <w:rPr>
          <w:rFonts w:cs="Arial"/>
        </w:rPr>
        <w:t xml:space="preserve"> 96</w:t>
      </w:r>
      <w:r w:rsidRPr="008B11E8">
        <w:rPr>
          <w:rFonts w:cs="Arial"/>
        </w:rPr>
        <w:t xml:space="preserve"> homes. Th</w:t>
      </w:r>
      <w:r w:rsidR="008B11E8">
        <w:rPr>
          <w:rFonts w:cs="Arial"/>
        </w:rPr>
        <w:t>is</w:t>
      </w:r>
      <w:r w:rsidRPr="008B11E8">
        <w:rPr>
          <w:rFonts w:cs="Arial"/>
        </w:rPr>
        <w:t xml:space="preserve"> sale comprises </w:t>
      </w:r>
      <w:r w:rsidR="00820AC7">
        <w:rPr>
          <w:rFonts w:cs="Arial"/>
        </w:rPr>
        <w:t xml:space="preserve">homes which Places for People will use for </w:t>
      </w:r>
      <w:r w:rsidR="00650C9D">
        <w:rPr>
          <w:rFonts w:cs="Arial"/>
        </w:rPr>
        <w:t>affordable</w:t>
      </w:r>
      <w:r w:rsidRPr="008B11E8">
        <w:rPr>
          <w:rFonts w:cs="Arial"/>
        </w:rPr>
        <w:t xml:space="preserve"> rent</w:t>
      </w:r>
      <w:r w:rsidR="00820AC7">
        <w:rPr>
          <w:rFonts w:cs="Arial"/>
        </w:rPr>
        <w:t xml:space="preserve"> (40)</w:t>
      </w:r>
      <w:r w:rsidRPr="008B11E8">
        <w:rPr>
          <w:rFonts w:cs="Arial"/>
        </w:rPr>
        <w:t xml:space="preserve"> and shared ownership</w:t>
      </w:r>
      <w:r w:rsidR="00820AC7">
        <w:rPr>
          <w:rFonts w:cs="Arial"/>
        </w:rPr>
        <w:t xml:space="preserve"> (56)</w:t>
      </w:r>
      <w:r w:rsidRPr="008B11E8">
        <w:rPr>
          <w:rFonts w:cs="Arial"/>
        </w:rPr>
        <w:t xml:space="preserve">. These affordable homes are in addition to the 40% of social rented homes </w:t>
      </w:r>
      <w:r w:rsidR="00820AC7">
        <w:rPr>
          <w:rFonts w:cs="Arial"/>
        </w:rPr>
        <w:t xml:space="preserve">(352) </w:t>
      </w:r>
      <w:r w:rsidRPr="008B11E8">
        <w:rPr>
          <w:rFonts w:cs="Arial"/>
        </w:rPr>
        <w:t>to be provided under the S106 agreement</w:t>
      </w:r>
      <w:r w:rsidR="00820AC7">
        <w:rPr>
          <w:rFonts w:cs="Arial"/>
        </w:rPr>
        <w:t xml:space="preserve"> bringing affordable homes delivery at Barton to 445 homes</w:t>
      </w:r>
      <w:r w:rsidR="00532C6A">
        <w:rPr>
          <w:rFonts w:cs="Arial"/>
        </w:rPr>
        <w:t xml:space="preserve"> (</w:t>
      </w:r>
      <w:r w:rsidR="00650C9D">
        <w:rPr>
          <w:rFonts w:cs="Arial"/>
        </w:rPr>
        <w:t>51</w:t>
      </w:r>
      <w:r w:rsidR="00532C6A">
        <w:rPr>
          <w:rFonts w:cs="Arial"/>
        </w:rPr>
        <w:t>%</w:t>
      </w:r>
      <w:r w:rsidR="00650C9D">
        <w:rPr>
          <w:rFonts w:cs="Arial"/>
        </w:rPr>
        <w:t xml:space="preserve"> of the currently consented 878 homes</w:t>
      </w:r>
      <w:r w:rsidR="00532C6A">
        <w:rPr>
          <w:rFonts w:cs="Arial"/>
        </w:rPr>
        <w:t>)</w:t>
      </w:r>
      <w:r w:rsidRPr="008B11E8">
        <w:rPr>
          <w:rFonts w:cs="Arial"/>
        </w:rPr>
        <w:t xml:space="preserve">. </w:t>
      </w:r>
    </w:p>
    <w:p w:rsidR="008B11E8" w:rsidRPr="008B11E8" w:rsidRDefault="008B11E8" w:rsidP="008B11E8">
      <w:pPr>
        <w:pStyle w:val="ListParagraph"/>
        <w:numPr>
          <w:ilvl w:val="0"/>
          <w:numId w:val="0"/>
        </w:numPr>
        <w:ind w:left="426"/>
        <w:rPr>
          <w:rFonts w:cs="Arial"/>
        </w:rPr>
      </w:pPr>
    </w:p>
    <w:p w:rsidR="00AC144C" w:rsidRPr="008B11E8" w:rsidRDefault="00AC144C" w:rsidP="008B11E8">
      <w:pPr>
        <w:pStyle w:val="ListParagraph"/>
        <w:numPr>
          <w:ilvl w:val="0"/>
          <w:numId w:val="7"/>
        </w:numPr>
        <w:autoSpaceDE w:val="0"/>
        <w:autoSpaceDN w:val="0"/>
        <w:adjustRightInd w:val="0"/>
        <w:spacing w:after="0"/>
        <w:ind w:left="700"/>
        <w:contextualSpacing/>
        <w:jc w:val="both"/>
        <w:rPr>
          <w:rFonts w:ascii="Calibri" w:hAnsi="Calibri" w:cs="Calibri"/>
          <w:sz w:val="22"/>
          <w:szCs w:val="22"/>
        </w:rPr>
      </w:pPr>
      <w:r w:rsidRPr="008B11E8">
        <w:rPr>
          <w:rFonts w:cs="Arial"/>
        </w:rPr>
        <w:t xml:space="preserve">Since the last report, BOLLP have entered a deed of covenant with Places for People </w:t>
      </w:r>
      <w:r w:rsidR="001B5B45">
        <w:rPr>
          <w:rFonts w:cs="Arial"/>
        </w:rPr>
        <w:t xml:space="preserve">to ensure </w:t>
      </w:r>
      <w:r w:rsidRPr="008B11E8">
        <w:rPr>
          <w:rFonts w:cs="Arial"/>
        </w:rPr>
        <w:t xml:space="preserve">that any residual developer’s obligations including </w:t>
      </w:r>
      <w:r w:rsidRPr="00AC144C">
        <w:t>the obligation to be a member of the Estate Management Company and pay a fai</w:t>
      </w:r>
      <w:r>
        <w:t>r proportion of service charge pass from Countryside to Places for People</w:t>
      </w:r>
      <w:r w:rsidR="008B11E8">
        <w:t xml:space="preserve"> when their contract completes. This deed of covenant ha</w:t>
      </w:r>
      <w:r w:rsidR="00532C6A">
        <w:t>s</w:t>
      </w:r>
      <w:r w:rsidR="008B11E8">
        <w:t xml:space="preserve"> enabled Places for People to complete on the purchase of the land from Countryside. They have a build contract in place that will lead to the delivery of these additional affordable homes. </w:t>
      </w:r>
      <w:r>
        <w:t xml:space="preserve"> </w:t>
      </w:r>
    </w:p>
    <w:p w:rsidR="006D36D4" w:rsidRDefault="006D36D4" w:rsidP="00E37600">
      <w:pPr>
        <w:spacing w:after="0"/>
        <w:ind w:left="851"/>
        <w:contextualSpacing/>
        <w:jc w:val="both"/>
        <w:rPr>
          <w:rFonts w:cs="Arial"/>
        </w:rPr>
      </w:pPr>
    </w:p>
    <w:p w:rsidR="00C20EBE" w:rsidRPr="0081117E" w:rsidRDefault="00C20EBE" w:rsidP="0081117E">
      <w:pPr>
        <w:tabs>
          <w:tab w:val="left" w:pos="8647"/>
        </w:tabs>
        <w:ind w:left="426" w:right="1077" w:hanging="426"/>
        <w:jc w:val="both"/>
        <w:rPr>
          <w:rFonts w:eastAsiaTheme="minorHAnsi" w:cs="Arial"/>
          <w:color w:val="auto"/>
          <w:u w:val="single"/>
          <w:lang w:eastAsia="en-US"/>
        </w:rPr>
      </w:pPr>
      <w:r w:rsidRPr="0081117E">
        <w:rPr>
          <w:rFonts w:eastAsiaTheme="minorHAnsi" w:cs="Arial"/>
          <w:color w:val="auto"/>
          <w:u w:val="single"/>
          <w:lang w:eastAsia="en-US"/>
        </w:rPr>
        <w:t xml:space="preserve">Final Phase  </w:t>
      </w:r>
    </w:p>
    <w:p w:rsidR="00C20EBE" w:rsidRDefault="00C20EBE" w:rsidP="00FB5DE4">
      <w:pPr>
        <w:pStyle w:val="ListParagraph"/>
        <w:numPr>
          <w:ilvl w:val="0"/>
          <w:numId w:val="7"/>
        </w:numPr>
        <w:spacing w:after="0"/>
        <w:ind w:left="700"/>
        <w:contextualSpacing/>
        <w:jc w:val="both"/>
        <w:rPr>
          <w:rFonts w:cs="Arial"/>
        </w:rPr>
      </w:pPr>
      <w:r w:rsidRPr="0081117E">
        <w:rPr>
          <w:rFonts w:cs="Arial"/>
        </w:rPr>
        <w:t xml:space="preserve">Legal work </w:t>
      </w:r>
      <w:r w:rsidR="003F51F4">
        <w:rPr>
          <w:rFonts w:cs="Arial"/>
        </w:rPr>
        <w:t>continues</w:t>
      </w:r>
      <w:r w:rsidRPr="0081117E">
        <w:rPr>
          <w:rFonts w:cs="Arial"/>
        </w:rPr>
        <w:t xml:space="preserve"> </w:t>
      </w:r>
      <w:r w:rsidR="00E339B7" w:rsidRPr="0081117E">
        <w:rPr>
          <w:rFonts w:cs="Arial"/>
        </w:rPr>
        <w:t xml:space="preserve">to progress the sale </w:t>
      </w:r>
      <w:r w:rsidRPr="0081117E">
        <w:rPr>
          <w:rFonts w:cs="Arial"/>
        </w:rPr>
        <w:t>with the successful bidder for phase 3b</w:t>
      </w:r>
      <w:r w:rsidR="00EC6554" w:rsidRPr="0081117E">
        <w:rPr>
          <w:rFonts w:cs="Arial"/>
        </w:rPr>
        <w:t xml:space="preserve">. </w:t>
      </w:r>
      <w:r w:rsidR="003F51F4">
        <w:rPr>
          <w:rFonts w:cs="Arial"/>
        </w:rPr>
        <w:t>BOLLP are applying pressure to progress this as quickly as possible</w:t>
      </w:r>
      <w:r w:rsidR="00820AC7">
        <w:rPr>
          <w:rFonts w:cs="Arial"/>
        </w:rPr>
        <w:t xml:space="preserve"> with legal documents in circulation for agreement</w:t>
      </w:r>
      <w:r w:rsidR="003F51F4">
        <w:rPr>
          <w:rFonts w:cs="Arial"/>
        </w:rPr>
        <w:t xml:space="preserve">. </w:t>
      </w:r>
      <w:r w:rsidR="00F04261" w:rsidRPr="0081117E">
        <w:rPr>
          <w:rFonts w:cs="Arial"/>
        </w:rPr>
        <w:t xml:space="preserve">It is anticipated that this </w:t>
      </w:r>
      <w:r w:rsidR="00D11F77" w:rsidRPr="0081117E">
        <w:rPr>
          <w:rFonts w:cs="Arial"/>
        </w:rPr>
        <w:t xml:space="preserve">phase </w:t>
      </w:r>
      <w:r w:rsidR="00F04261" w:rsidRPr="0081117E">
        <w:rPr>
          <w:rFonts w:cs="Arial"/>
        </w:rPr>
        <w:t xml:space="preserve">will be 100% affordable and at high levels of sustainability. </w:t>
      </w:r>
    </w:p>
    <w:p w:rsidR="007179A2" w:rsidRDefault="007179A2" w:rsidP="007179A2">
      <w:pPr>
        <w:tabs>
          <w:tab w:val="left" w:pos="8647"/>
        </w:tabs>
        <w:ind w:left="426" w:right="1077" w:hanging="426"/>
        <w:jc w:val="both"/>
        <w:rPr>
          <w:rFonts w:eastAsiaTheme="minorHAnsi" w:cs="Arial"/>
          <w:color w:val="auto"/>
          <w:u w:val="single"/>
          <w:lang w:eastAsia="en-US"/>
        </w:rPr>
      </w:pPr>
    </w:p>
    <w:p w:rsidR="007179A2" w:rsidRPr="007179A2" w:rsidRDefault="007179A2" w:rsidP="007179A2">
      <w:pPr>
        <w:tabs>
          <w:tab w:val="left" w:pos="8647"/>
        </w:tabs>
        <w:ind w:left="426" w:right="1077" w:hanging="426"/>
        <w:jc w:val="both"/>
        <w:rPr>
          <w:rFonts w:eastAsiaTheme="minorHAnsi" w:cs="Arial"/>
          <w:color w:val="auto"/>
          <w:u w:val="single"/>
          <w:lang w:eastAsia="en-US"/>
        </w:rPr>
      </w:pPr>
      <w:r>
        <w:rPr>
          <w:rFonts w:eastAsiaTheme="minorHAnsi" w:cs="Arial"/>
          <w:color w:val="auto"/>
          <w:u w:val="single"/>
          <w:lang w:eastAsia="en-US"/>
        </w:rPr>
        <w:t>Wider infrastructure</w:t>
      </w:r>
    </w:p>
    <w:p w:rsidR="007179A2" w:rsidRPr="0081117E" w:rsidRDefault="007179A2" w:rsidP="007179A2">
      <w:pPr>
        <w:pStyle w:val="ListParagraph"/>
        <w:numPr>
          <w:ilvl w:val="0"/>
          <w:numId w:val="7"/>
        </w:numPr>
        <w:tabs>
          <w:tab w:val="left" w:pos="7797"/>
        </w:tabs>
        <w:jc w:val="both"/>
        <w:rPr>
          <w:rFonts w:eastAsiaTheme="minorHAnsi" w:cs="Arial"/>
          <w:color w:val="auto"/>
          <w:lang w:eastAsia="en-US"/>
        </w:rPr>
      </w:pPr>
      <w:r>
        <w:rPr>
          <w:rFonts w:eastAsiaTheme="minorHAnsi" w:cs="Arial"/>
          <w:color w:val="auto"/>
          <w:lang w:eastAsia="en-US"/>
        </w:rPr>
        <w:t xml:space="preserve">Whilst phase 1 of the spine road is in the maintenance period (part of its process towards being finally adopted by Highways), the main junction is still awaiting this. Works have been completed and Oxfordshire County Council are being chased for an update so that the junction can be completed and moved onto its two-year maintenance period. </w:t>
      </w:r>
    </w:p>
    <w:p w:rsidR="007179A2" w:rsidRPr="007179A2" w:rsidRDefault="007179A2" w:rsidP="007179A2">
      <w:pPr>
        <w:spacing w:after="0"/>
        <w:contextualSpacing/>
        <w:jc w:val="both"/>
        <w:rPr>
          <w:rFonts w:cs="Arial"/>
          <w:b/>
        </w:rPr>
      </w:pPr>
    </w:p>
    <w:p w:rsidR="00D01114" w:rsidRDefault="00D01114" w:rsidP="00D01114">
      <w:pPr>
        <w:spacing w:after="0"/>
        <w:contextualSpacing/>
        <w:jc w:val="both"/>
        <w:rPr>
          <w:rFonts w:cs="Arial"/>
        </w:rPr>
      </w:pPr>
    </w:p>
    <w:p w:rsidR="00C20EBE" w:rsidRPr="0081117E" w:rsidRDefault="00612897" w:rsidP="0081117E">
      <w:pPr>
        <w:ind w:left="426" w:hanging="426"/>
        <w:rPr>
          <w:b/>
          <w:bCs/>
        </w:rPr>
      </w:pPr>
      <w:r>
        <w:rPr>
          <w:b/>
          <w:bCs/>
        </w:rPr>
        <w:t>Community Employment Plan</w:t>
      </w:r>
    </w:p>
    <w:p w:rsidR="00A20236" w:rsidRPr="008375AA" w:rsidRDefault="008375AA" w:rsidP="007179A2">
      <w:pPr>
        <w:pStyle w:val="ListParagraph"/>
        <w:numPr>
          <w:ilvl w:val="0"/>
          <w:numId w:val="7"/>
        </w:numPr>
        <w:rPr>
          <w:bCs/>
        </w:rPr>
      </w:pPr>
      <w:r w:rsidRPr="008375AA">
        <w:rPr>
          <w:bCs/>
        </w:rPr>
        <w:t xml:space="preserve">As reported at previously meetings, a newly refreshed Steering Group and Community Employment Plan has been set with Countryside and </w:t>
      </w:r>
      <w:proofErr w:type="spellStart"/>
      <w:r w:rsidRPr="008375AA">
        <w:rPr>
          <w:bCs/>
        </w:rPr>
        <w:t>Redrow</w:t>
      </w:r>
      <w:proofErr w:type="spellEnd"/>
      <w:r w:rsidRPr="008375AA">
        <w:rPr>
          <w:bCs/>
        </w:rPr>
        <w:t xml:space="preserve"> expected to deliver against revised targets. These include elements such as local employment (measured through the postcode of on-site workforce); local procurement (measured through the number of contracts awarded in </w:t>
      </w:r>
      <w:r w:rsidR="007179A2">
        <w:rPr>
          <w:bCs/>
        </w:rPr>
        <w:t>the Oxford supply chain)</w:t>
      </w:r>
      <w:r w:rsidRPr="008375AA">
        <w:rPr>
          <w:bCs/>
        </w:rPr>
        <w:t xml:space="preserve">; and supporting employment for young people. The first report against these targets, which will judge both qualitative and quantitative </w:t>
      </w:r>
      <w:r w:rsidR="007179A2">
        <w:rPr>
          <w:bCs/>
        </w:rPr>
        <w:t>aspects</w:t>
      </w:r>
      <w:r w:rsidRPr="008375AA">
        <w:rPr>
          <w:bCs/>
        </w:rPr>
        <w:t xml:space="preserve">, will be produced in November. Further updates on this will be presented at future meetings. </w:t>
      </w:r>
    </w:p>
    <w:p w:rsidR="00612897" w:rsidRDefault="00612897" w:rsidP="00612897">
      <w:pPr>
        <w:ind w:left="426" w:hanging="426"/>
        <w:rPr>
          <w:b/>
          <w:bCs/>
        </w:rPr>
      </w:pPr>
    </w:p>
    <w:p w:rsidR="007179A2" w:rsidRDefault="007179A2" w:rsidP="00612897">
      <w:pPr>
        <w:ind w:left="426" w:hanging="426"/>
        <w:rPr>
          <w:b/>
          <w:bCs/>
        </w:rPr>
      </w:pPr>
    </w:p>
    <w:p w:rsidR="007179A2" w:rsidRDefault="007179A2" w:rsidP="00612897">
      <w:pPr>
        <w:ind w:left="426" w:hanging="426"/>
        <w:rPr>
          <w:b/>
          <w:bCs/>
        </w:rPr>
      </w:pPr>
    </w:p>
    <w:p w:rsidR="00612897" w:rsidRPr="0081117E" w:rsidRDefault="00612897" w:rsidP="00612897">
      <w:pPr>
        <w:ind w:left="426" w:hanging="426"/>
        <w:rPr>
          <w:b/>
          <w:bCs/>
        </w:rPr>
      </w:pPr>
      <w:r w:rsidRPr="0081117E">
        <w:rPr>
          <w:b/>
          <w:bCs/>
        </w:rPr>
        <w:t xml:space="preserve">Events </w:t>
      </w:r>
    </w:p>
    <w:p w:rsidR="00820AC7" w:rsidRDefault="00820AC7" w:rsidP="007179A2">
      <w:pPr>
        <w:pStyle w:val="ListParagraph"/>
        <w:numPr>
          <w:ilvl w:val="0"/>
          <w:numId w:val="7"/>
        </w:numPr>
        <w:rPr>
          <w:bCs/>
        </w:rPr>
      </w:pPr>
      <w:r w:rsidRPr="00831DB8">
        <w:rPr>
          <w:bCs/>
        </w:rPr>
        <w:t>First Port (the managing agent) continue to hold resident meetings for all residents at Barton Park. Going forward they are looking to hold meetings at two different time slots to try to encourage a broader participation from all residents on the estate</w:t>
      </w:r>
      <w:r w:rsidR="003F51F4">
        <w:rPr>
          <w:bCs/>
        </w:rPr>
        <w:t xml:space="preserve"> </w:t>
      </w:r>
    </w:p>
    <w:p w:rsidR="003F51F4" w:rsidRPr="0081117E" w:rsidRDefault="003F51F4" w:rsidP="007179A2">
      <w:pPr>
        <w:pStyle w:val="ListParagraph"/>
        <w:numPr>
          <w:ilvl w:val="0"/>
          <w:numId w:val="7"/>
        </w:numPr>
        <w:rPr>
          <w:bCs/>
        </w:rPr>
      </w:pPr>
      <w:r>
        <w:rPr>
          <w:bCs/>
        </w:rPr>
        <w:t xml:space="preserve">BICEP meetings have been re-established on a quarterly basis with the most recent one held in July at the </w:t>
      </w:r>
      <w:r w:rsidR="008375AA">
        <w:rPr>
          <w:bCs/>
        </w:rPr>
        <w:t>pavilion</w:t>
      </w:r>
      <w:r>
        <w:rPr>
          <w:bCs/>
        </w:rPr>
        <w:t xml:space="preserve">. </w:t>
      </w:r>
      <w:r w:rsidR="00735A6E">
        <w:rPr>
          <w:bCs/>
        </w:rPr>
        <w:t>U</w:t>
      </w:r>
      <w:r w:rsidR="00612897">
        <w:rPr>
          <w:bCs/>
        </w:rPr>
        <w:t xml:space="preserve">pdates from the developers working at Barton were well received. </w:t>
      </w:r>
      <w:r w:rsidR="00735A6E">
        <w:rPr>
          <w:bCs/>
        </w:rPr>
        <w:t xml:space="preserve">At the most recent meeting, there have been some issues raised by the Football Club about the pavilion which are being picked up by the Leisure Team and ODS. </w:t>
      </w:r>
    </w:p>
    <w:p w:rsidR="003B1712" w:rsidRDefault="003B1712" w:rsidP="003B1712">
      <w:pPr>
        <w:pStyle w:val="Numberedlist"/>
        <w:numPr>
          <w:ilvl w:val="0"/>
          <w:numId w:val="0"/>
        </w:numPr>
        <w:ind w:left="-489"/>
      </w:pPr>
    </w:p>
    <w:p w:rsidR="008A2992" w:rsidRDefault="008A2992" w:rsidP="0081117E">
      <w:pPr>
        <w:tabs>
          <w:tab w:val="left" w:pos="8647"/>
        </w:tabs>
        <w:ind w:left="426" w:right="1077" w:hanging="426"/>
        <w:jc w:val="both"/>
        <w:rPr>
          <w:rFonts w:eastAsiaTheme="minorHAnsi" w:cs="Arial"/>
          <w:b/>
          <w:color w:val="auto"/>
          <w:lang w:eastAsia="en-US"/>
        </w:rPr>
      </w:pPr>
      <w:r>
        <w:rPr>
          <w:rFonts w:eastAsiaTheme="minorHAnsi" w:cs="Arial"/>
          <w:b/>
          <w:color w:val="auto"/>
          <w:lang w:eastAsia="en-US"/>
        </w:rPr>
        <w:t xml:space="preserve">Land North of </w:t>
      </w:r>
      <w:proofErr w:type="spellStart"/>
      <w:r>
        <w:rPr>
          <w:rFonts w:eastAsiaTheme="minorHAnsi" w:cs="Arial"/>
          <w:b/>
          <w:color w:val="auto"/>
          <w:lang w:eastAsia="en-US"/>
        </w:rPr>
        <w:t>Baywater</w:t>
      </w:r>
      <w:proofErr w:type="spellEnd"/>
      <w:r>
        <w:rPr>
          <w:rFonts w:eastAsiaTheme="minorHAnsi" w:cs="Arial"/>
          <w:b/>
          <w:color w:val="auto"/>
          <w:lang w:eastAsia="en-US"/>
        </w:rPr>
        <w:t xml:space="preserve"> Brook</w:t>
      </w:r>
    </w:p>
    <w:p w:rsidR="00820AC7" w:rsidRPr="008375AA" w:rsidRDefault="00820AC7" w:rsidP="007179A2">
      <w:pPr>
        <w:pStyle w:val="ListParagraph"/>
        <w:numPr>
          <w:ilvl w:val="0"/>
          <w:numId w:val="7"/>
        </w:numPr>
        <w:rPr>
          <w:color w:val="auto"/>
          <w:sz w:val="22"/>
          <w:szCs w:val="22"/>
        </w:rPr>
      </w:pPr>
      <w:r>
        <w:t xml:space="preserve">Dorchester Group who is promoting the land to the north of the Barton Park site on behalf of Christ Church had previously approached </w:t>
      </w:r>
      <w:r w:rsidR="00135426">
        <w:t>BOLLP</w:t>
      </w:r>
      <w:r w:rsidR="00D06B05">
        <w:t xml:space="preserve"> requesting additional pedestrian and c</w:t>
      </w:r>
      <w:r>
        <w:t xml:space="preserve">ycle links through the linear park. </w:t>
      </w:r>
      <w:r w:rsidR="00135426">
        <w:t xml:space="preserve">Work continues with </w:t>
      </w:r>
      <w:r w:rsidR="00D06B05">
        <w:t xml:space="preserve">Dorchester and </w:t>
      </w:r>
      <w:r w:rsidR="00135426">
        <w:t xml:space="preserve">BOLLP to agree the location and design of these proposed connections including a financial contribution </w:t>
      </w:r>
      <w:r w:rsidR="00D06B05">
        <w:t xml:space="preserve">to compensate residents </w:t>
      </w:r>
      <w:r>
        <w:t>on potential temporary loss of use of the linear park and increased maintenance cost as a result of additional access points</w:t>
      </w:r>
      <w:r w:rsidR="00D06B05">
        <w:t xml:space="preserve">, and to make </w:t>
      </w:r>
      <w:r>
        <w:t>a financial contribution to BOLLP for the land uptake.</w:t>
      </w:r>
      <w:r w:rsidR="00D06B05">
        <w:t xml:space="preserve"> This is likely to be finalised over the next month.</w:t>
      </w:r>
      <w:r w:rsidR="00532C6A">
        <w:t xml:space="preserve"> BOLLP recognises the place making be</w:t>
      </w:r>
      <w:r w:rsidR="00FC2D4C">
        <w:t>nefits of cohesion between the two</w:t>
      </w:r>
      <w:r w:rsidR="00532C6A">
        <w:t xml:space="preserve"> schemes but need to balance this against any financial implications of increased usage of the infrastructure.    </w:t>
      </w:r>
      <w:r w:rsidR="00D06B05">
        <w:t xml:space="preserve"> </w:t>
      </w:r>
    </w:p>
    <w:p w:rsidR="008375AA" w:rsidRPr="00D06B05" w:rsidRDefault="008375AA" w:rsidP="008375AA">
      <w:pPr>
        <w:pStyle w:val="ListParagraph"/>
        <w:numPr>
          <w:ilvl w:val="0"/>
          <w:numId w:val="0"/>
        </w:numPr>
        <w:ind w:left="720"/>
        <w:rPr>
          <w:color w:val="auto"/>
          <w:sz w:val="22"/>
          <w:szCs w:val="22"/>
        </w:rPr>
      </w:pPr>
    </w:p>
    <w:p w:rsidR="00820AC7" w:rsidRDefault="00820AC7" w:rsidP="00820AC7">
      <w:pPr>
        <w:tabs>
          <w:tab w:val="left" w:pos="8647"/>
        </w:tabs>
        <w:ind w:left="426" w:right="1077" w:hanging="426"/>
        <w:jc w:val="both"/>
        <w:rPr>
          <w:rFonts w:eastAsiaTheme="minorHAnsi" w:cs="Arial"/>
          <w:b/>
          <w:color w:val="auto"/>
          <w:lang w:eastAsia="en-US"/>
        </w:rPr>
      </w:pPr>
      <w:r>
        <w:rPr>
          <w:rFonts w:eastAsiaTheme="minorHAnsi" w:cs="Arial"/>
          <w:b/>
          <w:color w:val="auto"/>
          <w:lang w:eastAsia="en-US"/>
        </w:rPr>
        <w:t xml:space="preserve">Barton </w:t>
      </w:r>
      <w:r w:rsidR="00C43D6B">
        <w:rPr>
          <w:rFonts w:eastAsiaTheme="minorHAnsi" w:cs="Arial"/>
          <w:b/>
          <w:color w:val="auto"/>
          <w:lang w:eastAsia="en-US"/>
        </w:rPr>
        <w:t xml:space="preserve">Oxford LLP </w:t>
      </w:r>
      <w:r>
        <w:rPr>
          <w:rFonts w:eastAsiaTheme="minorHAnsi" w:cs="Arial"/>
          <w:b/>
          <w:color w:val="auto"/>
          <w:lang w:eastAsia="en-US"/>
        </w:rPr>
        <w:t>outstanding actions</w:t>
      </w:r>
    </w:p>
    <w:p w:rsidR="00820AC7" w:rsidRDefault="00820AC7" w:rsidP="007179A2">
      <w:pPr>
        <w:pStyle w:val="ListParagraph"/>
        <w:numPr>
          <w:ilvl w:val="0"/>
          <w:numId w:val="7"/>
        </w:numPr>
        <w:tabs>
          <w:tab w:val="left" w:pos="7655"/>
          <w:tab w:val="left" w:pos="7797"/>
        </w:tabs>
        <w:jc w:val="both"/>
        <w:rPr>
          <w:rFonts w:eastAsiaTheme="minorHAnsi" w:cs="Arial"/>
          <w:color w:val="auto"/>
          <w:lang w:eastAsia="en-US"/>
        </w:rPr>
      </w:pPr>
      <w:r>
        <w:rPr>
          <w:rFonts w:eastAsiaTheme="minorHAnsi" w:cs="Arial"/>
          <w:color w:val="auto"/>
          <w:lang w:eastAsia="en-US"/>
        </w:rPr>
        <w:t>As the main parcels of the Barton Park scheme are all</w:t>
      </w:r>
      <w:r w:rsidR="00532C6A">
        <w:rPr>
          <w:rFonts w:eastAsiaTheme="minorHAnsi" w:cs="Arial"/>
          <w:color w:val="auto"/>
          <w:lang w:eastAsia="en-US"/>
        </w:rPr>
        <w:t xml:space="preserve"> under offer or</w:t>
      </w:r>
      <w:r>
        <w:rPr>
          <w:rFonts w:eastAsiaTheme="minorHAnsi" w:cs="Arial"/>
          <w:color w:val="auto"/>
          <w:lang w:eastAsia="en-US"/>
        </w:rPr>
        <w:t xml:space="preserve"> in development, the Board of BOLLP are now keeping under review the outstanding actions for the LLP. </w:t>
      </w:r>
    </w:p>
    <w:p w:rsidR="008375AA" w:rsidRDefault="00820AC7" w:rsidP="007179A2">
      <w:pPr>
        <w:pStyle w:val="ListParagraph"/>
        <w:numPr>
          <w:ilvl w:val="0"/>
          <w:numId w:val="7"/>
        </w:numPr>
        <w:tabs>
          <w:tab w:val="left" w:pos="7655"/>
          <w:tab w:val="left" w:pos="7797"/>
        </w:tabs>
        <w:jc w:val="both"/>
        <w:rPr>
          <w:rFonts w:eastAsiaTheme="minorHAnsi" w:cs="Arial"/>
          <w:color w:val="auto"/>
          <w:lang w:eastAsia="en-US"/>
        </w:rPr>
      </w:pPr>
      <w:r>
        <w:rPr>
          <w:rFonts w:eastAsiaTheme="minorHAnsi" w:cs="Arial"/>
          <w:color w:val="auto"/>
          <w:lang w:eastAsia="en-US"/>
        </w:rPr>
        <w:t xml:space="preserve">Central to these are the sale of phase 3B which is ongoing and detailed above. Other actions relate to the ongoing management of construction and estate set up before it is </w:t>
      </w:r>
      <w:r w:rsidR="001B5B45">
        <w:rPr>
          <w:rFonts w:eastAsiaTheme="minorHAnsi" w:cs="Arial"/>
          <w:color w:val="auto"/>
          <w:lang w:eastAsia="en-US"/>
        </w:rPr>
        <w:t xml:space="preserve">fully </w:t>
      </w:r>
      <w:r>
        <w:rPr>
          <w:rFonts w:eastAsiaTheme="minorHAnsi" w:cs="Arial"/>
          <w:color w:val="auto"/>
          <w:lang w:eastAsia="en-US"/>
        </w:rPr>
        <w:t xml:space="preserve">handed over to the </w:t>
      </w:r>
      <w:proofErr w:type="spellStart"/>
      <w:r w:rsidR="001B5B45">
        <w:rPr>
          <w:rFonts w:eastAsiaTheme="minorHAnsi" w:cs="Arial"/>
          <w:color w:val="auto"/>
          <w:lang w:eastAsia="en-US"/>
        </w:rPr>
        <w:t>m</w:t>
      </w:r>
      <w:r>
        <w:rPr>
          <w:rFonts w:eastAsiaTheme="minorHAnsi" w:cs="Arial"/>
          <w:color w:val="auto"/>
          <w:lang w:eastAsia="en-US"/>
        </w:rPr>
        <w:t>anco</w:t>
      </w:r>
      <w:proofErr w:type="spellEnd"/>
      <w:r>
        <w:rPr>
          <w:rFonts w:eastAsiaTheme="minorHAnsi" w:cs="Arial"/>
          <w:color w:val="auto"/>
          <w:lang w:eastAsia="en-US"/>
        </w:rPr>
        <w:t xml:space="preserve">; </w:t>
      </w:r>
      <w:r w:rsidR="00C43D6B">
        <w:rPr>
          <w:rFonts w:eastAsiaTheme="minorHAnsi" w:cs="Arial"/>
          <w:color w:val="auto"/>
          <w:lang w:eastAsia="en-US"/>
        </w:rPr>
        <w:t xml:space="preserve">and </w:t>
      </w:r>
      <w:r>
        <w:rPr>
          <w:rFonts w:eastAsiaTheme="minorHAnsi" w:cs="Arial"/>
          <w:color w:val="auto"/>
          <w:lang w:eastAsia="en-US"/>
        </w:rPr>
        <w:t xml:space="preserve">meeting the wider obligations of the estate around roads, </w:t>
      </w:r>
      <w:r w:rsidR="00C43D6B">
        <w:rPr>
          <w:rFonts w:eastAsiaTheme="minorHAnsi" w:cs="Arial"/>
          <w:color w:val="auto"/>
          <w:lang w:eastAsia="en-US"/>
        </w:rPr>
        <w:t>sewers and planning. The commitment to these aspects will be on-going but it is hoped that the resource required from both parties within the LLP will be reduced. However, it is vital that continued management and monitoring happens to ensure a strong legacy.</w:t>
      </w:r>
      <w:r w:rsidR="00532C6A">
        <w:rPr>
          <w:rFonts w:eastAsiaTheme="minorHAnsi" w:cs="Arial"/>
          <w:color w:val="auto"/>
          <w:lang w:eastAsia="en-US"/>
        </w:rPr>
        <w:t xml:space="preserve"> </w:t>
      </w:r>
    </w:p>
    <w:p w:rsidR="00FB5DE4" w:rsidRDefault="008375AA" w:rsidP="007179A2">
      <w:pPr>
        <w:pStyle w:val="ListParagraph"/>
        <w:numPr>
          <w:ilvl w:val="0"/>
          <w:numId w:val="7"/>
        </w:numPr>
        <w:tabs>
          <w:tab w:val="left" w:pos="7655"/>
          <w:tab w:val="left" w:pos="7797"/>
        </w:tabs>
        <w:jc w:val="both"/>
        <w:rPr>
          <w:rFonts w:eastAsiaTheme="minorHAnsi" w:cs="Arial"/>
          <w:color w:val="auto"/>
          <w:lang w:eastAsia="en-US"/>
        </w:rPr>
      </w:pPr>
      <w:r>
        <w:rPr>
          <w:rFonts w:eastAsiaTheme="minorHAnsi" w:cs="Arial"/>
          <w:color w:val="auto"/>
          <w:lang w:eastAsia="en-US"/>
        </w:rPr>
        <w:t xml:space="preserve">It is anticipated it will be three or four years until the LLP is able to wind down in light of ongoing commitments around transfer of land and the </w:t>
      </w:r>
      <w:proofErr w:type="spellStart"/>
      <w:r>
        <w:rPr>
          <w:rFonts w:eastAsiaTheme="minorHAnsi" w:cs="Arial"/>
          <w:color w:val="auto"/>
          <w:lang w:eastAsia="en-US"/>
        </w:rPr>
        <w:t>manco</w:t>
      </w:r>
      <w:proofErr w:type="spellEnd"/>
      <w:r>
        <w:rPr>
          <w:rFonts w:eastAsiaTheme="minorHAnsi" w:cs="Arial"/>
          <w:color w:val="auto"/>
          <w:lang w:eastAsia="en-US"/>
        </w:rPr>
        <w:t xml:space="preserve">. </w:t>
      </w:r>
    </w:p>
    <w:p w:rsidR="007179A2" w:rsidRDefault="007179A2" w:rsidP="007179A2">
      <w:pPr>
        <w:pStyle w:val="ListParagraph"/>
        <w:numPr>
          <w:ilvl w:val="0"/>
          <w:numId w:val="0"/>
        </w:numPr>
        <w:tabs>
          <w:tab w:val="left" w:pos="7655"/>
          <w:tab w:val="left" w:pos="7797"/>
        </w:tabs>
        <w:ind w:left="720"/>
        <w:jc w:val="both"/>
        <w:rPr>
          <w:rFonts w:eastAsiaTheme="minorHAnsi" w:cs="Arial"/>
          <w:color w:val="auto"/>
          <w:lang w:eastAsia="en-US"/>
        </w:rPr>
      </w:pPr>
    </w:p>
    <w:p w:rsidR="00203C5C" w:rsidRPr="0081117E" w:rsidRDefault="00C905BB" w:rsidP="0081117E">
      <w:pPr>
        <w:tabs>
          <w:tab w:val="left" w:pos="8647"/>
        </w:tabs>
        <w:ind w:left="426" w:right="1077" w:hanging="426"/>
        <w:jc w:val="both"/>
        <w:rPr>
          <w:rFonts w:eastAsiaTheme="minorHAnsi" w:cs="Arial"/>
          <w:b/>
          <w:color w:val="auto"/>
          <w:lang w:eastAsia="en-US"/>
        </w:rPr>
      </w:pPr>
      <w:r w:rsidRPr="0081117E">
        <w:rPr>
          <w:rFonts w:eastAsiaTheme="minorHAnsi" w:cs="Arial"/>
          <w:b/>
          <w:color w:val="auto"/>
          <w:lang w:eastAsia="en-US"/>
        </w:rPr>
        <w:t>F</w:t>
      </w:r>
      <w:r w:rsidR="00203C5C" w:rsidRPr="0081117E">
        <w:rPr>
          <w:rFonts w:eastAsiaTheme="minorHAnsi" w:cs="Arial"/>
          <w:b/>
          <w:color w:val="auto"/>
          <w:lang w:eastAsia="en-US"/>
        </w:rPr>
        <w:t xml:space="preserve">inancial Implications </w:t>
      </w:r>
    </w:p>
    <w:p w:rsidR="0041652A" w:rsidRDefault="00477BE1" w:rsidP="007179A2">
      <w:pPr>
        <w:pStyle w:val="Numberedlist"/>
        <w:numPr>
          <w:ilvl w:val="0"/>
          <w:numId w:val="7"/>
        </w:numPr>
        <w:rPr>
          <w:rFonts w:eastAsiaTheme="minorHAnsi" w:cs="Arial"/>
          <w:color w:val="auto"/>
          <w:lang w:eastAsia="en-US"/>
        </w:rPr>
      </w:pPr>
      <w:r w:rsidRPr="00A10491">
        <w:rPr>
          <w:rFonts w:eastAsiaTheme="minorHAnsi" w:cs="Arial"/>
          <w:color w:val="auto"/>
          <w:lang w:eastAsia="en-US"/>
        </w:rPr>
        <w:t>There are no</w:t>
      </w:r>
      <w:r w:rsidR="00CA66C2">
        <w:rPr>
          <w:rFonts w:eastAsiaTheme="minorHAnsi" w:cs="Arial"/>
          <w:color w:val="auto"/>
          <w:lang w:eastAsia="en-US"/>
        </w:rPr>
        <w:t xml:space="preserve"> new</w:t>
      </w:r>
      <w:r w:rsidRPr="00A10491">
        <w:rPr>
          <w:rFonts w:eastAsiaTheme="minorHAnsi" w:cs="Arial"/>
          <w:color w:val="auto"/>
          <w:lang w:eastAsia="en-US"/>
        </w:rPr>
        <w:t xml:space="preserve"> financial implications arising directly from this report.</w:t>
      </w:r>
      <w:r w:rsidR="00CA66C2">
        <w:rPr>
          <w:rFonts w:eastAsiaTheme="minorHAnsi" w:cs="Arial"/>
          <w:color w:val="auto"/>
          <w:lang w:eastAsia="en-US"/>
        </w:rPr>
        <w:t xml:space="preserve"> </w:t>
      </w:r>
    </w:p>
    <w:p w:rsidR="007179A2" w:rsidRDefault="007179A2" w:rsidP="0081117E">
      <w:pPr>
        <w:tabs>
          <w:tab w:val="left" w:pos="8647"/>
        </w:tabs>
        <w:ind w:left="426" w:right="1077" w:hanging="426"/>
        <w:jc w:val="both"/>
        <w:rPr>
          <w:rFonts w:eastAsiaTheme="minorHAnsi" w:cs="Arial"/>
          <w:b/>
          <w:color w:val="auto"/>
          <w:lang w:eastAsia="en-US"/>
        </w:rPr>
      </w:pPr>
    </w:p>
    <w:p w:rsidR="0041652A" w:rsidRPr="0081117E" w:rsidRDefault="00477BE1" w:rsidP="0081117E">
      <w:pPr>
        <w:tabs>
          <w:tab w:val="left" w:pos="8647"/>
        </w:tabs>
        <w:ind w:left="426" w:right="1077" w:hanging="426"/>
        <w:jc w:val="both"/>
        <w:rPr>
          <w:rFonts w:eastAsiaTheme="minorHAnsi" w:cs="Arial"/>
          <w:b/>
          <w:color w:val="auto"/>
          <w:lang w:eastAsia="en-US"/>
        </w:rPr>
      </w:pPr>
      <w:r w:rsidRPr="0081117E">
        <w:rPr>
          <w:rFonts w:eastAsiaTheme="minorHAnsi" w:cs="Arial"/>
          <w:b/>
          <w:color w:val="auto"/>
          <w:lang w:eastAsia="en-US"/>
        </w:rPr>
        <w:t>Legal</w:t>
      </w:r>
      <w:r w:rsidR="0041652A" w:rsidRPr="0081117E">
        <w:rPr>
          <w:rFonts w:eastAsiaTheme="minorHAnsi" w:cs="Arial"/>
          <w:b/>
          <w:color w:val="auto"/>
          <w:lang w:eastAsia="en-US"/>
        </w:rPr>
        <w:t xml:space="preserve"> Implications </w:t>
      </w:r>
    </w:p>
    <w:p w:rsidR="0041652A" w:rsidRDefault="0041652A" w:rsidP="007179A2">
      <w:pPr>
        <w:pStyle w:val="Numberedlist"/>
        <w:numPr>
          <w:ilvl w:val="0"/>
          <w:numId w:val="7"/>
        </w:numPr>
        <w:tabs>
          <w:tab w:val="clear" w:pos="993"/>
        </w:tabs>
        <w:rPr>
          <w:rFonts w:eastAsiaTheme="minorHAnsi" w:cs="Arial"/>
          <w:color w:val="auto"/>
          <w:lang w:eastAsia="en-US"/>
        </w:rPr>
      </w:pPr>
      <w:r w:rsidRPr="00A10491">
        <w:rPr>
          <w:rFonts w:eastAsiaTheme="minorHAnsi" w:cs="Arial"/>
          <w:color w:val="auto"/>
          <w:lang w:eastAsia="en-US"/>
        </w:rPr>
        <w:lastRenderedPageBreak/>
        <w:t xml:space="preserve">There are no </w:t>
      </w:r>
      <w:r w:rsidR="00477BE1" w:rsidRPr="00A10491">
        <w:rPr>
          <w:rFonts w:eastAsiaTheme="minorHAnsi" w:cs="Arial"/>
          <w:color w:val="auto"/>
          <w:lang w:eastAsia="en-US"/>
        </w:rPr>
        <w:t>legal implications arising directly from this report.</w:t>
      </w:r>
      <w:r w:rsidR="00EC7BFC">
        <w:rPr>
          <w:rFonts w:eastAsiaTheme="minorHAnsi" w:cs="Arial"/>
          <w:color w:val="auto"/>
          <w:lang w:eastAsia="en-US"/>
        </w:rPr>
        <w:t xml:space="preserve"> </w:t>
      </w:r>
    </w:p>
    <w:p w:rsidR="00F524C3" w:rsidRDefault="00F524C3" w:rsidP="00801432">
      <w:pPr>
        <w:spacing w:after="0"/>
        <w:ind w:right="-29"/>
        <w:jc w:val="both"/>
        <w:rPr>
          <w:rFonts w:eastAsiaTheme="minorHAnsi" w:cs="Arial"/>
          <w:color w:val="auto"/>
          <w:lang w:eastAsia="en-US"/>
        </w:rPr>
      </w:pPr>
    </w:p>
    <w:p w:rsidR="007179A2" w:rsidRPr="00F524C3" w:rsidRDefault="007179A2" w:rsidP="00801432">
      <w:pPr>
        <w:spacing w:after="0"/>
        <w:ind w:right="-29"/>
        <w:jc w:val="both"/>
        <w:rPr>
          <w:rFonts w:eastAsiaTheme="minorHAnsi" w:cs="Arial"/>
          <w:color w:val="auto"/>
          <w:lang w:eastAsia="en-U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78"/>
        <w:gridCol w:w="4896"/>
      </w:tblGrid>
      <w:tr w:rsidR="00DF093E" w:rsidRPr="00575235" w:rsidTr="00F524C3">
        <w:trPr>
          <w:cantSplit/>
          <w:trHeight w:val="396"/>
        </w:trPr>
        <w:tc>
          <w:tcPr>
            <w:tcW w:w="3878" w:type="dxa"/>
            <w:tcBorders>
              <w:top w:val="single" w:sz="8" w:space="0" w:color="000000"/>
              <w:left w:val="single" w:sz="8" w:space="0" w:color="000000"/>
              <w:bottom w:val="single" w:sz="8" w:space="0" w:color="000000"/>
              <w:right w:val="nil"/>
            </w:tcBorders>
            <w:shd w:val="clear" w:color="auto" w:fill="auto"/>
          </w:tcPr>
          <w:p w:rsidR="00E87F7A" w:rsidRPr="00575235" w:rsidRDefault="00E87F7A" w:rsidP="00801432">
            <w:pPr>
              <w:tabs>
                <w:tab w:val="left" w:pos="8647"/>
              </w:tabs>
              <w:spacing w:after="0"/>
              <w:ind w:right="1076"/>
              <w:rPr>
                <w:rFonts w:cs="Arial"/>
                <w:b/>
              </w:rPr>
            </w:pPr>
            <w:r w:rsidRPr="00575235">
              <w:rPr>
                <w:rFonts w:cs="Arial"/>
                <w:b/>
              </w:rPr>
              <w:t>Report author</w:t>
            </w:r>
          </w:p>
        </w:tc>
        <w:tc>
          <w:tcPr>
            <w:tcW w:w="4896" w:type="dxa"/>
            <w:tcBorders>
              <w:top w:val="single" w:sz="8" w:space="0" w:color="000000"/>
              <w:left w:val="nil"/>
              <w:bottom w:val="single" w:sz="8" w:space="0" w:color="000000"/>
              <w:right w:val="single" w:sz="8" w:space="0" w:color="000000"/>
            </w:tcBorders>
            <w:shd w:val="clear" w:color="auto" w:fill="auto"/>
          </w:tcPr>
          <w:p w:rsidR="00E87F7A" w:rsidRPr="00575235" w:rsidRDefault="00FC2362" w:rsidP="00801432">
            <w:pPr>
              <w:tabs>
                <w:tab w:val="left" w:pos="8647"/>
              </w:tabs>
              <w:spacing w:after="0"/>
              <w:ind w:right="1076"/>
              <w:rPr>
                <w:rFonts w:cs="Arial"/>
              </w:rPr>
            </w:pPr>
            <w:r>
              <w:rPr>
                <w:rFonts w:cs="Arial"/>
              </w:rPr>
              <w:t>Sarah Knight</w:t>
            </w:r>
          </w:p>
        </w:tc>
      </w:tr>
      <w:tr w:rsidR="0041652A" w:rsidRPr="00575235" w:rsidTr="009F4FE2">
        <w:trPr>
          <w:cantSplit/>
          <w:trHeight w:val="541"/>
        </w:trPr>
        <w:tc>
          <w:tcPr>
            <w:tcW w:w="3878" w:type="dxa"/>
            <w:tcBorders>
              <w:top w:val="single" w:sz="8" w:space="0" w:color="000000"/>
              <w:left w:val="single" w:sz="8" w:space="0" w:color="000000"/>
              <w:bottom w:val="single" w:sz="4" w:space="0" w:color="auto"/>
              <w:right w:val="nil"/>
            </w:tcBorders>
            <w:shd w:val="clear" w:color="auto" w:fill="auto"/>
          </w:tcPr>
          <w:p w:rsidR="0041652A" w:rsidRPr="00FB5DE4" w:rsidRDefault="0041652A" w:rsidP="00FB5DE4">
            <w:pPr>
              <w:spacing w:after="0"/>
              <w:rPr>
                <w:rFonts w:cs="Arial"/>
              </w:rPr>
            </w:pPr>
            <w:r>
              <w:rPr>
                <w:rFonts w:cs="Arial"/>
              </w:rPr>
              <w:t>Job titl</w:t>
            </w:r>
            <w:r w:rsidR="00FB5DE4">
              <w:rPr>
                <w:rFonts w:cs="Arial"/>
              </w:rPr>
              <w:t>e</w:t>
            </w:r>
          </w:p>
        </w:tc>
        <w:tc>
          <w:tcPr>
            <w:tcW w:w="4896" w:type="dxa"/>
            <w:tcBorders>
              <w:top w:val="single" w:sz="8" w:space="0" w:color="000000"/>
              <w:left w:val="nil"/>
              <w:bottom w:val="single" w:sz="4" w:space="0" w:color="auto"/>
              <w:right w:val="single" w:sz="8" w:space="0" w:color="000000"/>
            </w:tcBorders>
            <w:shd w:val="clear" w:color="auto" w:fill="auto"/>
          </w:tcPr>
          <w:p w:rsidR="0041652A" w:rsidRPr="00575235" w:rsidRDefault="00FC2362" w:rsidP="00A20236">
            <w:pPr>
              <w:spacing w:after="0"/>
              <w:rPr>
                <w:rFonts w:cs="Arial"/>
              </w:rPr>
            </w:pPr>
            <w:r>
              <w:rPr>
                <w:rFonts w:cs="Arial"/>
              </w:rPr>
              <w:t>Head of Development</w:t>
            </w:r>
            <w:r w:rsidR="0033740F">
              <w:rPr>
                <w:rFonts w:cs="Arial"/>
              </w:rPr>
              <w:t xml:space="preserve"> </w:t>
            </w:r>
          </w:p>
        </w:tc>
      </w:tr>
      <w:tr w:rsidR="00F524C3" w:rsidRPr="00575235" w:rsidTr="00F524C3">
        <w:trPr>
          <w:cantSplit/>
          <w:trHeight w:val="440"/>
        </w:trPr>
        <w:tc>
          <w:tcPr>
            <w:tcW w:w="3878" w:type="dxa"/>
            <w:tcBorders>
              <w:top w:val="single" w:sz="4" w:space="0" w:color="auto"/>
              <w:left w:val="single" w:sz="8" w:space="0" w:color="000000"/>
              <w:bottom w:val="single" w:sz="4" w:space="0" w:color="auto"/>
              <w:right w:val="nil"/>
            </w:tcBorders>
            <w:shd w:val="clear" w:color="auto" w:fill="auto"/>
          </w:tcPr>
          <w:p w:rsidR="00F524C3" w:rsidRDefault="00F524C3" w:rsidP="00F524C3">
            <w:pPr>
              <w:spacing w:after="0"/>
              <w:rPr>
                <w:rFonts w:cs="Arial"/>
              </w:rPr>
            </w:pPr>
            <w:r>
              <w:rPr>
                <w:rFonts w:cs="Arial"/>
              </w:rPr>
              <w:t>Service area or department</w:t>
            </w:r>
          </w:p>
          <w:p w:rsidR="00F524C3" w:rsidRDefault="00F524C3" w:rsidP="00F524C3">
            <w:pPr>
              <w:tabs>
                <w:tab w:val="left" w:pos="8647"/>
              </w:tabs>
              <w:spacing w:after="0"/>
              <w:ind w:right="1076"/>
              <w:rPr>
                <w:rFonts w:cs="Arial"/>
              </w:rPr>
            </w:pPr>
          </w:p>
        </w:tc>
        <w:tc>
          <w:tcPr>
            <w:tcW w:w="4896" w:type="dxa"/>
            <w:tcBorders>
              <w:top w:val="single" w:sz="4" w:space="0" w:color="auto"/>
              <w:left w:val="nil"/>
              <w:bottom w:val="single" w:sz="4" w:space="0" w:color="auto"/>
              <w:right w:val="single" w:sz="8" w:space="0" w:color="000000"/>
            </w:tcBorders>
            <w:shd w:val="clear" w:color="auto" w:fill="auto"/>
          </w:tcPr>
          <w:p w:rsidR="00F524C3" w:rsidRDefault="003505FA" w:rsidP="0033740F">
            <w:pPr>
              <w:spacing w:after="0"/>
              <w:rPr>
                <w:rFonts w:cs="Arial"/>
              </w:rPr>
            </w:pPr>
            <w:r>
              <w:rPr>
                <w:rFonts w:cs="Arial"/>
              </w:rPr>
              <w:t>Housing Services</w:t>
            </w:r>
          </w:p>
        </w:tc>
      </w:tr>
      <w:tr w:rsidR="00F524C3" w:rsidRPr="00575235" w:rsidTr="00F524C3">
        <w:trPr>
          <w:cantSplit/>
          <w:trHeight w:val="480"/>
        </w:trPr>
        <w:tc>
          <w:tcPr>
            <w:tcW w:w="3878" w:type="dxa"/>
            <w:tcBorders>
              <w:top w:val="single" w:sz="4" w:space="0" w:color="auto"/>
              <w:left w:val="single" w:sz="8" w:space="0" w:color="000000"/>
              <w:bottom w:val="single" w:sz="8" w:space="0" w:color="000000"/>
              <w:right w:val="nil"/>
            </w:tcBorders>
            <w:shd w:val="clear" w:color="auto" w:fill="auto"/>
          </w:tcPr>
          <w:p w:rsidR="00F524C3" w:rsidRDefault="00F524C3" w:rsidP="00F524C3">
            <w:pPr>
              <w:tabs>
                <w:tab w:val="left" w:pos="8647"/>
              </w:tabs>
              <w:spacing w:after="0"/>
              <w:ind w:right="1076"/>
              <w:rPr>
                <w:rFonts w:cs="Arial"/>
              </w:rPr>
            </w:pPr>
            <w:r w:rsidRPr="00575235">
              <w:rPr>
                <w:rFonts w:cs="Arial"/>
              </w:rPr>
              <w:t xml:space="preserve">Telephone </w:t>
            </w:r>
          </w:p>
        </w:tc>
        <w:tc>
          <w:tcPr>
            <w:tcW w:w="4896" w:type="dxa"/>
            <w:tcBorders>
              <w:top w:val="single" w:sz="4" w:space="0" w:color="auto"/>
              <w:left w:val="nil"/>
              <w:bottom w:val="single" w:sz="8" w:space="0" w:color="000000"/>
              <w:right w:val="single" w:sz="8" w:space="0" w:color="000000"/>
            </w:tcBorders>
            <w:shd w:val="clear" w:color="auto" w:fill="auto"/>
          </w:tcPr>
          <w:p w:rsidR="00F524C3" w:rsidRDefault="00FC2362" w:rsidP="00F524C3">
            <w:pPr>
              <w:tabs>
                <w:tab w:val="left" w:pos="8647"/>
              </w:tabs>
              <w:spacing w:after="0"/>
              <w:ind w:right="1076"/>
              <w:rPr>
                <w:rFonts w:cs="Arial"/>
              </w:rPr>
            </w:pPr>
            <w:r w:rsidRPr="00FC2362">
              <w:rPr>
                <w:rFonts w:cs="Arial"/>
              </w:rPr>
              <w:t>07483010867</w:t>
            </w:r>
          </w:p>
        </w:tc>
      </w:tr>
      <w:tr w:rsidR="0041652A" w:rsidRPr="00575235" w:rsidTr="00F524C3">
        <w:trPr>
          <w:cantSplit/>
          <w:trHeight w:val="396"/>
        </w:trPr>
        <w:tc>
          <w:tcPr>
            <w:tcW w:w="3878" w:type="dxa"/>
            <w:tcBorders>
              <w:top w:val="single" w:sz="8" w:space="0" w:color="000000"/>
              <w:left w:val="single" w:sz="8" w:space="0" w:color="000000"/>
              <w:bottom w:val="single" w:sz="4" w:space="0" w:color="auto"/>
              <w:right w:val="nil"/>
            </w:tcBorders>
            <w:shd w:val="clear" w:color="auto" w:fill="auto"/>
          </w:tcPr>
          <w:p w:rsidR="0041652A" w:rsidRPr="00575235" w:rsidRDefault="0041652A" w:rsidP="00F524C3">
            <w:pPr>
              <w:tabs>
                <w:tab w:val="left" w:pos="8647"/>
              </w:tabs>
              <w:spacing w:after="0"/>
              <w:ind w:right="1076"/>
              <w:rPr>
                <w:rFonts w:cs="Arial"/>
              </w:rPr>
            </w:pPr>
            <w:r w:rsidRPr="00575235">
              <w:rPr>
                <w:rFonts w:cs="Arial"/>
              </w:rPr>
              <w:t xml:space="preserve">e-mail </w:t>
            </w:r>
          </w:p>
        </w:tc>
        <w:tc>
          <w:tcPr>
            <w:tcW w:w="4896" w:type="dxa"/>
            <w:tcBorders>
              <w:top w:val="single" w:sz="8" w:space="0" w:color="000000"/>
              <w:left w:val="nil"/>
              <w:bottom w:val="single" w:sz="4" w:space="0" w:color="auto"/>
              <w:right w:val="single" w:sz="8" w:space="0" w:color="000000"/>
            </w:tcBorders>
            <w:shd w:val="clear" w:color="auto" w:fill="auto"/>
          </w:tcPr>
          <w:p w:rsidR="0041652A" w:rsidRPr="00575235" w:rsidRDefault="00FC2362" w:rsidP="003505FA">
            <w:pPr>
              <w:tabs>
                <w:tab w:val="left" w:pos="8647"/>
              </w:tabs>
              <w:spacing w:after="0"/>
              <w:ind w:right="1076"/>
              <w:rPr>
                <w:rFonts w:cs="Arial"/>
              </w:rPr>
            </w:pPr>
            <w:r>
              <w:rPr>
                <w:rStyle w:val="Hyperlink"/>
              </w:rPr>
              <w:t>sknight@oxford.gov.uk</w:t>
            </w:r>
          </w:p>
        </w:tc>
      </w:tr>
    </w:tbl>
    <w:p w:rsidR="00D81CEF" w:rsidRDefault="00D81CEF" w:rsidP="005F6738">
      <w:pPr>
        <w:spacing w:after="0"/>
        <w:rPr>
          <w:rFonts w:cs="Arial"/>
        </w:rPr>
      </w:pPr>
    </w:p>
    <w:sectPr w:rsidR="00D81CEF" w:rsidSect="00D81CEF">
      <w:headerReference w:type="default" r:id="rId8"/>
      <w:footerReference w:type="even" r:id="rId9"/>
      <w:footerReference w:type="default" r:id="rId10"/>
      <w:headerReference w:type="first" r:id="rId11"/>
      <w:footerReference w:type="first" r:id="rId12"/>
      <w:pgSz w:w="11906" w:h="16838" w:code="9"/>
      <w:pgMar w:top="1418" w:right="1700" w:bottom="1304" w:left="1304"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21A" w:rsidRDefault="008A521A" w:rsidP="004A6D2F">
      <w:r>
        <w:separator/>
      </w:r>
    </w:p>
  </w:endnote>
  <w:endnote w:type="continuationSeparator" w:id="0">
    <w:p w:rsidR="008A521A" w:rsidRDefault="008A521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98" w:rsidRDefault="00707C98" w:rsidP="004A6D2F">
    <w:pPr>
      <w:pStyle w:val="Footer"/>
    </w:pPr>
    <w:r>
      <w:t>Do not use a footer or page numbers.</w:t>
    </w:r>
  </w:p>
  <w:p w:rsidR="00707C98" w:rsidRDefault="00707C98" w:rsidP="004A6D2F">
    <w:pPr>
      <w:pStyle w:val="Footer"/>
    </w:pPr>
  </w:p>
  <w:p w:rsidR="00707C98" w:rsidRDefault="00707C9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10" w:rsidRDefault="00702F10">
    <w:pPr>
      <w:pStyle w:val="Footer"/>
      <w:jc w:val="right"/>
    </w:pPr>
  </w:p>
  <w:p w:rsidR="00702F10" w:rsidRDefault="00702F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98" w:rsidRDefault="00707C9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21A" w:rsidRDefault="008A521A" w:rsidP="004A6D2F">
      <w:r>
        <w:separator/>
      </w:r>
    </w:p>
  </w:footnote>
  <w:footnote w:type="continuationSeparator" w:id="0">
    <w:p w:rsidR="008A521A" w:rsidRDefault="008A521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EF" w:rsidRDefault="00D81CEF" w:rsidP="00D81CE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98" w:rsidRDefault="00707C98" w:rsidP="00D5547E">
    <w:pPr>
      <w:pStyle w:val="Header"/>
      <w:jc w:val="right"/>
    </w:pPr>
    <w:r>
      <w:rPr>
        <w:noProof/>
      </w:rPr>
      <w:drawing>
        <wp:inline distT="0" distB="0" distL="0" distR="0" wp14:anchorId="390E0911" wp14:editId="6A7EA04C">
          <wp:extent cx="841375" cy="1116965"/>
          <wp:effectExtent l="0" t="0" r="0" b="6985"/>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p w:rsidR="00F524C3" w:rsidRDefault="00F524C3"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532AC6"/>
    <w:multiLevelType w:val="hybridMultilevel"/>
    <w:tmpl w:val="4B6265E2"/>
    <w:lvl w:ilvl="0" w:tplc="F7787CC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B00649B"/>
    <w:multiLevelType w:val="hybridMultilevel"/>
    <w:tmpl w:val="ABDE1052"/>
    <w:lvl w:ilvl="0" w:tplc="2188A6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11753C"/>
    <w:multiLevelType w:val="hybridMultilevel"/>
    <w:tmpl w:val="61F2135E"/>
    <w:lvl w:ilvl="0" w:tplc="283AC71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423C5E"/>
    <w:multiLevelType w:val="hybridMultilevel"/>
    <w:tmpl w:val="97D8E2FA"/>
    <w:lvl w:ilvl="0" w:tplc="283AC71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9F2B3C"/>
    <w:multiLevelType w:val="multilevel"/>
    <w:tmpl w:val="160292C2"/>
    <w:lvl w:ilvl="0">
      <w:start w:val="1"/>
      <w:numFmt w:val="decimal"/>
      <w:pStyle w:val="Numberedlist"/>
      <w:lvlText w:val="%1."/>
      <w:lvlJc w:val="left"/>
      <w:pPr>
        <w:ind w:left="-129" w:hanging="360"/>
      </w:pPr>
      <w:rPr>
        <w:rFonts w:ascii="Arial" w:hAnsi="Arial"/>
        <w:b/>
        <w:color w:val="000000"/>
        <w:sz w:val="24"/>
      </w:rPr>
    </w:lvl>
    <w:lvl w:ilvl="1">
      <w:start w:val="1"/>
      <w:numFmt w:val="decimal"/>
      <w:lvlText w:val="%2."/>
      <w:lvlJc w:val="left"/>
      <w:pPr>
        <w:ind w:left="591" w:hanging="360"/>
      </w:pPr>
      <w:rPr>
        <w:rFonts w:hint="default"/>
      </w:rPr>
    </w:lvl>
    <w:lvl w:ilvl="2">
      <w:start w:val="1"/>
      <w:numFmt w:val="lowerRoman"/>
      <w:lvlText w:val="%3."/>
      <w:lvlJc w:val="right"/>
      <w:pPr>
        <w:ind w:left="1311" w:hanging="180"/>
      </w:pPr>
    </w:lvl>
    <w:lvl w:ilvl="3">
      <w:start w:val="1"/>
      <w:numFmt w:val="decimal"/>
      <w:lvlText w:val="%4."/>
      <w:lvlJc w:val="left"/>
      <w:pPr>
        <w:ind w:left="2031" w:hanging="360"/>
      </w:pPr>
    </w:lvl>
    <w:lvl w:ilvl="4">
      <w:start w:val="1"/>
      <w:numFmt w:val="lowerLetter"/>
      <w:lvlText w:val="%5."/>
      <w:lvlJc w:val="left"/>
      <w:pPr>
        <w:ind w:left="2751" w:hanging="360"/>
      </w:pPr>
    </w:lvl>
    <w:lvl w:ilvl="5">
      <w:start w:val="1"/>
      <w:numFmt w:val="lowerRoman"/>
      <w:lvlText w:val="%6."/>
      <w:lvlJc w:val="right"/>
      <w:pPr>
        <w:ind w:left="3471" w:hanging="180"/>
      </w:pPr>
    </w:lvl>
    <w:lvl w:ilvl="6">
      <w:start w:val="1"/>
      <w:numFmt w:val="decimal"/>
      <w:lvlText w:val="%7."/>
      <w:lvlJc w:val="left"/>
      <w:pPr>
        <w:ind w:left="4191" w:hanging="360"/>
      </w:pPr>
    </w:lvl>
    <w:lvl w:ilvl="7">
      <w:start w:val="1"/>
      <w:numFmt w:val="lowerLetter"/>
      <w:lvlText w:val="%8."/>
      <w:lvlJc w:val="left"/>
      <w:pPr>
        <w:ind w:left="4911" w:hanging="360"/>
      </w:pPr>
    </w:lvl>
    <w:lvl w:ilvl="8">
      <w:start w:val="1"/>
      <w:numFmt w:val="lowerRoman"/>
      <w:lvlText w:val="%9."/>
      <w:lvlJc w:val="right"/>
      <w:pPr>
        <w:ind w:left="5631" w:hanging="180"/>
      </w:pPr>
    </w:lvl>
  </w:abstractNum>
  <w:abstractNum w:abstractNumId="8">
    <w:nsid w:val="798365C6"/>
    <w:multiLevelType w:val="multilevel"/>
    <w:tmpl w:val="E67CE66C"/>
    <w:numStyleLink w:val="StyleNumberedLeft0cmHanging075cm"/>
  </w:abstractNum>
  <w:num w:numId="1">
    <w:abstractNumId w:val="0"/>
  </w:num>
  <w:num w:numId="2">
    <w:abstractNumId w:val="8"/>
  </w:num>
  <w:num w:numId="3">
    <w:abstractNumId w:val="3"/>
  </w:num>
  <w:num w:numId="4">
    <w:abstractNumId w:val="1"/>
  </w:num>
  <w:num w:numId="5">
    <w:abstractNumId w:val="7"/>
  </w:num>
  <w:num w:numId="6">
    <w:abstractNumId w:val="4"/>
  </w:num>
  <w:num w:numId="7">
    <w:abstractNumId w:val="5"/>
  </w:num>
  <w:num w:numId="8">
    <w:abstractNumId w:val="2"/>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29"/>
    <w:rsid w:val="00000C94"/>
    <w:rsid w:val="0000393F"/>
    <w:rsid w:val="000113C9"/>
    <w:rsid w:val="000117D4"/>
    <w:rsid w:val="0001586E"/>
    <w:rsid w:val="00020C83"/>
    <w:rsid w:val="000268C8"/>
    <w:rsid w:val="000314D7"/>
    <w:rsid w:val="0003185A"/>
    <w:rsid w:val="00032003"/>
    <w:rsid w:val="0004337E"/>
    <w:rsid w:val="00045F8B"/>
    <w:rsid w:val="00046D2B"/>
    <w:rsid w:val="00056263"/>
    <w:rsid w:val="00064D8A"/>
    <w:rsid w:val="00064F82"/>
    <w:rsid w:val="00066510"/>
    <w:rsid w:val="000667FD"/>
    <w:rsid w:val="0007094D"/>
    <w:rsid w:val="00072B72"/>
    <w:rsid w:val="00075CCD"/>
    <w:rsid w:val="00077523"/>
    <w:rsid w:val="00084A07"/>
    <w:rsid w:val="00092025"/>
    <w:rsid w:val="000947DC"/>
    <w:rsid w:val="000B1C69"/>
    <w:rsid w:val="000B2C57"/>
    <w:rsid w:val="000B371A"/>
    <w:rsid w:val="000C04B4"/>
    <w:rsid w:val="000C089F"/>
    <w:rsid w:val="000C3928"/>
    <w:rsid w:val="000C5E8E"/>
    <w:rsid w:val="000C7318"/>
    <w:rsid w:val="000D4345"/>
    <w:rsid w:val="000E1CFC"/>
    <w:rsid w:val="000E3620"/>
    <w:rsid w:val="000F417B"/>
    <w:rsid w:val="000F4481"/>
    <w:rsid w:val="000F4751"/>
    <w:rsid w:val="000F6C7B"/>
    <w:rsid w:val="00101AE2"/>
    <w:rsid w:val="0010524C"/>
    <w:rsid w:val="0010763E"/>
    <w:rsid w:val="00107E75"/>
    <w:rsid w:val="00111FB1"/>
    <w:rsid w:val="00113418"/>
    <w:rsid w:val="00114C3E"/>
    <w:rsid w:val="00115F26"/>
    <w:rsid w:val="00133E0C"/>
    <w:rsid w:val="00135426"/>
    <w:rsid w:val="001356F1"/>
    <w:rsid w:val="00135FB6"/>
    <w:rsid w:val="00136994"/>
    <w:rsid w:val="0014128E"/>
    <w:rsid w:val="00141C13"/>
    <w:rsid w:val="00146C4F"/>
    <w:rsid w:val="00151888"/>
    <w:rsid w:val="00151BB0"/>
    <w:rsid w:val="00156BFE"/>
    <w:rsid w:val="001606C2"/>
    <w:rsid w:val="00160901"/>
    <w:rsid w:val="00170A2D"/>
    <w:rsid w:val="00171D89"/>
    <w:rsid w:val="00175E59"/>
    <w:rsid w:val="001761CB"/>
    <w:rsid w:val="001808BC"/>
    <w:rsid w:val="00182B81"/>
    <w:rsid w:val="0018619D"/>
    <w:rsid w:val="00186258"/>
    <w:rsid w:val="00187A9B"/>
    <w:rsid w:val="00190473"/>
    <w:rsid w:val="00195B34"/>
    <w:rsid w:val="001A011E"/>
    <w:rsid w:val="001A066A"/>
    <w:rsid w:val="001A13E6"/>
    <w:rsid w:val="001A530C"/>
    <w:rsid w:val="001A5731"/>
    <w:rsid w:val="001B3EBB"/>
    <w:rsid w:val="001B42C3"/>
    <w:rsid w:val="001B5B45"/>
    <w:rsid w:val="001C3084"/>
    <w:rsid w:val="001C5D5E"/>
    <w:rsid w:val="001D4D6D"/>
    <w:rsid w:val="001D5A64"/>
    <w:rsid w:val="001D5EEF"/>
    <w:rsid w:val="001D678D"/>
    <w:rsid w:val="001E03F8"/>
    <w:rsid w:val="001E1678"/>
    <w:rsid w:val="001E266B"/>
    <w:rsid w:val="001E3376"/>
    <w:rsid w:val="001F20DE"/>
    <w:rsid w:val="001F31D2"/>
    <w:rsid w:val="00203C5C"/>
    <w:rsid w:val="00205D92"/>
    <w:rsid w:val="002069B3"/>
    <w:rsid w:val="002162B8"/>
    <w:rsid w:val="002171F4"/>
    <w:rsid w:val="002241ED"/>
    <w:rsid w:val="002329CF"/>
    <w:rsid w:val="00232F5B"/>
    <w:rsid w:val="00247C29"/>
    <w:rsid w:val="00260467"/>
    <w:rsid w:val="00262A9D"/>
    <w:rsid w:val="00263EA3"/>
    <w:rsid w:val="00264568"/>
    <w:rsid w:val="002738A2"/>
    <w:rsid w:val="00281AAF"/>
    <w:rsid w:val="00283B69"/>
    <w:rsid w:val="00284F85"/>
    <w:rsid w:val="00290915"/>
    <w:rsid w:val="002A100D"/>
    <w:rsid w:val="002A22E2"/>
    <w:rsid w:val="002A2D09"/>
    <w:rsid w:val="002A4510"/>
    <w:rsid w:val="002B12F2"/>
    <w:rsid w:val="002C64F7"/>
    <w:rsid w:val="002D053C"/>
    <w:rsid w:val="002D338C"/>
    <w:rsid w:val="002E12A0"/>
    <w:rsid w:val="002E6204"/>
    <w:rsid w:val="002E6689"/>
    <w:rsid w:val="002F41F2"/>
    <w:rsid w:val="00301BF3"/>
    <w:rsid w:val="0030208D"/>
    <w:rsid w:val="003035D9"/>
    <w:rsid w:val="003058CB"/>
    <w:rsid w:val="00307A24"/>
    <w:rsid w:val="003165D8"/>
    <w:rsid w:val="00316F4C"/>
    <w:rsid w:val="00323418"/>
    <w:rsid w:val="00325AA3"/>
    <w:rsid w:val="003357BF"/>
    <w:rsid w:val="0033740F"/>
    <w:rsid w:val="003464E1"/>
    <w:rsid w:val="003505FA"/>
    <w:rsid w:val="00361C76"/>
    <w:rsid w:val="0036353C"/>
    <w:rsid w:val="0036423D"/>
    <w:rsid w:val="00364FAD"/>
    <w:rsid w:val="0036738F"/>
    <w:rsid w:val="0036759C"/>
    <w:rsid w:val="00367AE5"/>
    <w:rsid w:val="00367D71"/>
    <w:rsid w:val="00370027"/>
    <w:rsid w:val="0037015A"/>
    <w:rsid w:val="00370487"/>
    <w:rsid w:val="00370574"/>
    <w:rsid w:val="00373BD7"/>
    <w:rsid w:val="00375BE2"/>
    <w:rsid w:val="0038150A"/>
    <w:rsid w:val="00383190"/>
    <w:rsid w:val="0039194E"/>
    <w:rsid w:val="0039357B"/>
    <w:rsid w:val="00395737"/>
    <w:rsid w:val="003A26FD"/>
    <w:rsid w:val="003A5955"/>
    <w:rsid w:val="003A76C8"/>
    <w:rsid w:val="003B0980"/>
    <w:rsid w:val="003B1712"/>
    <w:rsid w:val="003B6E75"/>
    <w:rsid w:val="003B7DA1"/>
    <w:rsid w:val="003C1F13"/>
    <w:rsid w:val="003C5012"/>
    <w:rsid w:val="003C5775"/>
    <w:rsid w:val="003D0379"/>
    <w:rsid w:val="003D1756"/>
    <w:rsid w:val="003D2574"/>
    <w:rsid w:val="003D4C59"/>
    <w:rsid w:val="003E691E"/>
    <w:rsid w:val="003F4267"/>
    <w:rsid w:val="003F51F4"/>
    <w:rsid w:val="00401348"/>
    <w:rsid w:val="00404032"/>
    <w:rsid w:val="0040736F"/>
    <w:rsid w:val="00412C1F"/>
    <w:rsid w:val="0041439C"/>
    <w:rsid w:val="0041652A"/>
    <w:rsid w:val="0042030E"/>
    <w:rsid w:val="00420DB0"/>
    <w:rsid w:val="004211ED"/>
    <w:rsid w:val="00421CB2"/>
    <w:rsid w:val="00424630"/>
    <w:rsid w:val="004268B9"/>
    <w:rsid w:val="00433B96"/>
    <w:rsid w:val="004365F8"/>
    <w:rsid w:val="004440F1"/>
    <w:rsid w:val="004456DD"/>
    <w:rsid w:val="00446CDF"/>
    <w:rsid w:val="00450474"/>
    <w:rsid w:val="00452055"/>
    <w:rsid w:val="004521B7"/>
    <w:rsid w:val="004548E3"/>
    <w:rsid w:val="00457873"/>
    <w:rsid w:val="00462AB5"/>
    <w:rsid w:val="004653AD"/>
    <w:rsid w:val="00465EAF"/>
    <w:rsid w:val="004711FC"/>
    <w:rsid w:val="004738C5"/>
    <w:rsid w:val="00473F3E"/>
    <w:rsid w:val="00475860"/>
    <w:rsid w:val="004769C3"/>
    <w:rsid w:val="00477BE1"/>
    <w:rsid w:val="004804B9"/>
    <w:rsid w:val="00484329"/>
    <w:rsid w:val="00487092"/>
    <w:rsid w:val="00491046"/>
    <w:rsid w:val="00495B13"/>
    <w:rsid w:val="00495E00"/>
    <w:rsid w:val="004A043B"/>
    <w:rsid w:val="004A27B5"/>
    <w:rsid w:val="004A2AC7"/>
    <w:rsid w:val="004A3E93"/>
    <w:rsid w:val="004A6D2F"/>
    <w:rsid w:val="004B1835"/>
    <w:rsid w:val="004C0C86"/>
    <w:rsid w:val="004C2887"/>
    <w:rsid w:val="004D2626"/>
    <w:rsid w:val="004D5017"/>
    <w:rsid w:val="004D6E26"/>
    <w:rsid w:val="004D77D3"/>
    <w:rsid w:val="004E2959"/>
    <w:rsid w:val="004E4229"/>
    <w:rsid w:val="004F20EF"/>
    <w:rsid w:val="004F58F7"/>
    <w:rsid w:val="004F623F"/>
    <w:rsid w:val="004F6894"/>
    <w:rsid w:val="004F7774"/>
    <w:rsid w:val="00502412"/>
    <w:rsid w:val="0050321C"/>
    <w:rsid w:val="00505EA4"/>
    <w:rsid w:val="00507FE0"/>
    <w:rsid w:val="00525F6A"/>
    <w:rsid w:val="005268C5"/>
    <w:rsid w:val="00532C6A"/>
    <w:rsid w:val="005427A0"/>
    <w:rsid w:val="0054712D"/>
    <w:rsid w:val="00547EF6"/>
    <w:rsid w:val="00550211"/>
    <w:rsid w:val="00552930"/>
    <w:rsid w:val="00554C9B"/>
    <w:rsid w:val="005570B5"/>
    <w:rsid w:val="00560AC5"/>
    <w:rsid w:val="00566E73"/>
    <w:rsid w:val="00567DDE"/>
    <w:rsid w:val="00567E18"/>
    <w:rsid w:val="0057130A"/>
    <w:rsid w:val="00574982"/>
    <w:rsid w:val="00575235"/>
    <w:rsid w:val="00575F5F"/>
    <w:rsid w:val="005807BA"/>
    <w:rsid w:val="00581805"/>
    <w:rsid w:val="00585F76"/>
    <w:rsid w:val="00591686"/>
    <w:rsid w:val="0059368E"/>
    <w:rsid w:val="0059426E"/>
    <w:rsid w:val="005A10AD"/>
    <w:rsid w:val="005A1B43"/>
    <w:rsid w:val="005A34C6"/>
    <w:rsid w:val="005A34E4"/>
    <w:rsid w:val="005A60D1"/>
    <w:rsid w:val="005B17F2"/>
    <w:rsid w:val="005B195B"/>
    <w:rsid w:val="005B51E9"/>
    <w:rsid w:val="005B757B"/>
    <w:rsid w:val="005B7FB0"/>
    <w:rsid w:val="005C35A5"/>
    <w:rsid w:val="005C3B91"/>
    <w:rsid w:val="005C577C"/>
    <w:rsid w:val="005C7E85"/>
    <w:rsid w:val="005D0621"/>
    <w:rsid w:val="005D1E27"/>
    <w:rsid w:val="005D2A3E"/>
    <w:rsid w:val="005D6973"/>
    <w:rsid w:val="005E022E"/>
    <w:rsid w:val="005E38FD"/>
    <w:rsid w:val="005E4D5E"/>
    <w:rsid w:val="005E5215"/>
    <w:rsid w:val="005F0738"/>
    <w:rsid w:val="005F36B2"/>
    <w:rsid w:val="005F3F9E"/>
    <w:rsid w:val="005F6738"/>
    <w:rsid w:val="005F7F7E"/>
    <w:rsid w:val="00607D7C"/>
    <w:rsid w:val="00612897"/>
    <w:rsid w:val="00614693"/>
    <w:rsid w:val="00623C2F"/>
    <w:rsid w:val="00627066"/>
    <w:rsid w:val="00632FA6"/>
    <w:rsid w:val="00633578"/>
    <w:rsid w:val="00634AB9"/>
    <w:rsid w:val="00636D62"/>
    <w:rsid w:val="00637068"/>
    <w:rsid w:val="00640036"/>
    <w:rsid w:val="00645945"/>
    <w:rsid w:val="00645BA8"/>
    <w:rsid w:val="00650811"/>
    <w:rsid w:val="00650C9D"/>
    <w:rsid w:val="00656FDA"/>
    <w:rsid w:val="00661D3E"/>
    <w:rsid w:val="006628EA"/>
    <w:rsid w:val="00667551"/>
    <w:rsid w:val="0068312A"/>
    <w:rsid w:val="00692627"/>
    <w:rsid w:val="00693EC9"/>
    <w:rsid w:val="00694382"/>
    <w:rsid w:val="006951D2"/>
    <w:rsid w:val="00696156"/>
    <w:rsid w:val="0069627F"/>
    <w:rsid w:val="006969E7"/>
    <w:rsid w:val="006A3595"/>
    <w:rsid w:val="006A3643"/>
    <w:rsid w:val="006A54BD"/>
    <w:rsid w:val="006C2A29"/>
    <w:rsid w:val="006C64CF"/>
    <w:rsid w:val="006C6D5D"/>
    <w:rsid w:val="006D052F"/>
    <w:rsid w:val="006D17B1"/>
    <w:rsid w:val="006D36D4"/>
    <w:rsid w:val="006D4752"/>
    <w:rsid w:val="006D708A"/>
    <w:rsid w:val="006E14C1"/>
    <w:rsid w:val="006E2ADB"/>
    <w:rsid w:val="006F0292"/>
    <w:rsid w:val="006F27FA"/>
    <w:rsid w:val="006F416B"/>
    <w:rsid w:val="006F519B"/>
    <w:rsid w:val="00702F10"/>
    <w:rsid w:val="0070374C"/>
    <w:rsid w:val="00707C98"/>
    <w:rsid w:val="00711AB0"/>
    <w:rsid w:val="00713675"/>
    <w:rsid w:val="00715823"/>
    <w:rsid w:val="007179A2"/>
    <w:rsid w:val="00724943"/>
    <w:rsid w:val="00724962"/>
    <w:rsid w:val="00730749"/>
    <w:rsid w:val="007337DF"/>
    <w:rsid w:val="0073566C"/>
    <w:rsid w:val="007359CC"/>
    <w:rsid w:val="00735A6E"/>
    <w:rsid w:val="007367F6"/>
    <w:rsid w:val="00737B93"/>
    <w:rsid w:val="00737C85"/>
    <w:rsid w:val="00740B8D"/>
    <w:rsid w:val="007413BB"/>
    <w:rsid w:val="0074315C"/>
    <w:rsid w:val="00745BF0"/>
    <w:rsid w:val="00747E50"/>
    <w:rsid w:val="00750782"/>
    <w:rsid w:val="007615FE"/>
    <w:rsid w:val="0076335E"/>
    <w:rsid w:val="0076655C"/>
    <w:rsid w:val="00766E53"/>
    <w:rsid w:val="00772E55"/>
    <w:rsid w:val="007739F1"/>
    <w:rsid w:val="007742DC"/>
    <w:rsid w:val="00781DAC"/>
    <w:rsid w:val="007859F3"/>
    <w:rsid w:val="00785B28"/>
    <w:rsid w:val="00787226"/>
    <w:rsid w:val="00791437"/>
    <w:rsid w:val="00791AAE"/>
    <w:rsid w:val="007A2866"/>
    <w:rsid w:val="007A3B17"/>
    <w:rsid w:val="007A7DDC"/>
    <w:rsid w:val="007B01DB"/>
    <w:rsid w:val="007B0C2C"/>
    <w:rsid w:val="007B18DF"/>
    <w:rsid w:val="007B278E"/>
    <w:rsid w:val="007C0DE5"/>
    <w:rsid w:val="007C160C"/>
    <w:rsid w:val="007C365E"/>
    <w:rsid w:val="007C5C23"/>
    <w:rsid w:val="007D3988"/>
    <w:rsid w:val="007E2A26"/>
    <w:rsid w:val="007E4CEC"/>
    <w:rsid w:val="007F2348"/>
    <w:rsid w:val="00801432"/>
    <w:rsid w:val="00803F07"/>
    <w:rsid w:val="008042E9"/>
    <w:rsid w:val="0080749A"/>
    <w:rsid w:val="00810F45"/>
    <w:rsid w:val="0081117E"/>
    <w:rsid w:val="0081127D"/>
    <w:rsid w:val="00820AC7"/>
    <w:rsid w:val="00821FB8"/>
    <w:rsid w:val="00822ACD"/>
    <w:rsid w:val="00831DB8"/>
    <w:rsid w:val="008375AA"/>
    <w:rsid w:val="00840B10"/>
    <w:rsid w:val="0084453C"/>
    <w:rsid w:val="008512F7"/>
    <w:rsid w:val="00855C66"/>
    <w:rsid w:val="008562BD"/>
    <w:rsid w:val="00860ED9"/>
    <w:rsid w:val="00864603"/>
    <w:rsid w:val="00871EE4"/>
    <w:rsid w:val="00880096"/>
    <w:rsid w:val="00881EC3"/>
    <w:rsid w:val="00884D1C"/>
    <w:rsid w:val="008942B1"/>
    <w:rsid w:val="00896566"/>
    <w:rsid w:val="008A286C"/>
    <w:rsid w:val="008A2992"/>
    <w:rsid w:val="008A521A"/>
    <w:rsid w:val="008B11E8"/>
    <w:rsid w:val="008B293F"/>
    <w:rsid w:val="008B593E"/>
    <w:rsid w:val="008B7371"/>
    <w:rsid w:val="008B7B7A"/>
    <w:rsid w:val="008C247C"/>
    <w:rsid w:val="008D10B0"/>
    <w:rsid w:val="008D11F4"/>
    <w:rsid w:val="008D3DDB"/>
    <w:rsid w:val="008E0377"/>
    <w:rsid w:val="008E78E1"/>
    <w:rsid w:val="008F261E"/>
    <w:rsid w:val="008F2CDD"/>
    <w:rsid w:val="008F573F"/>
    <w:rsid w:val="008F70A7"/>
    <w:rsid w:val="008F7CC4"/>
    <w:rsid w:val="009034EC"/>
    <w:rsid w:val="00907C06"/>
    <w:rsid w:val="00912D16"/>
    <w:rsid w:val="00922286"/>
    <w:rsid w:val="00922669"/>
    <w:rsid w:val="00927573"/>
    <w:rsid w:val="0093067A"/>
    <w:rsid w:val="009347AE"/>
    <w:rsid w:val="00941C60"/>
    <w:rsid w:val="00941FD1"/>
    <w:rsid w:val="00944CB4"/>
    <w:rsid w:val="009467AC"/>
    <w:rsid w:val="009552C0"/>
    <w:rsid w:val="00955C90"/>
    <w:rsid w:val="00962C1E"/>
    <w:rsid w:val="00963593"/>
    <w:rsid w:val="00966D42"/>
    <w:rsid w:val="00970FD1"/>
    <w:rsid w:val="00971689"/>
    <w:rsid w:val="00973E90"/>
    <w:rsid w:val="00975B07"/>
    <w:rsid w:val="00980B4A"/>
    <w:rsid w:val="009838F7"/>
    <w:rsid w:val="0098546B"/>
    <w:rsid w:val="009A5C48"/>
    <w:rsid w:val="009A6A14"/>
    <w:rsid w:val="009A76D0"/>
    <w:rsid w:val="009B3AF0"/>
    <w:rsid w:val="009D7DF2"/>
    <w:rsid w:val="009E3D0A"/>
    <w:rsid w:val="009E51FC"/>
    <w:rsid w:val="009F1D28"/>
    <w:rsid w:val="009F3678"/>
    <w:rsid w:val="009F4FE2"/>
    <w:rsid w:val="009F7618"/>
    <w:rsid w:val="00A0266C"/>
    <w:rsid w:val="00A04D23"/>
    <w:rsid w:val="00A06766"/>
    <w:rsid w:val="00A0771E"/>
    <w:rsid w:val="00A10491"/>
    <w:rsid w:val="00A10FD4"/>
    <w:rsid w:val="00A12CB8"/>
    <w:rsid w:val="00A130EB"/>
    <w:rsid w:val="00A13765"/>
    <w:rsid w:val="00A16C70"/>
    <w:rsid w:val="00A20236"/>
    <w:rsid w:val="00A21B12"/>
    <w:rsid w:val="00A232EB"/>
    <w:rsid w:val="00A23F80"/>
    <w:rsid w:val="00A25E7D"/>
    <w:rsid w:val="00A3024F"/>
    <w:rsid w:val="00A37A61"/>
    <w:rsid w:val="00A4234D"/>
    <w:rsid w:val="00A423BF"/>
    <w:rsid w:val="00A464C4"/>
    <w:rsid w:val="00A46E98"/>
    <w:rsid w:val="00A6352B"/>
    <w:rsid w:val="00A6491A"/>
    <w:rsid w:val="00A701B5"/>
    <w:rsid w:val="00A714BB"/>
    <w:rsid w:val="00A7466F"/>
    <w:rsid w:val="00A77147"/>
    <w:rsid w:val="00A810FC"/>
    <w:rsid w:val="00A84706"/>
    <w:rsid w:val="00A84925"/>
    <w:rsid w:val="00A9198A"/>
    <w:rsid w:val="00A92A82"/>
    <w:rsid w:val="00A92D8F"/>
    <w:rsid w:val="00A955E7"/>
    <w:rsid w:val="00A97094"/>
    <w:rsid w:val="00AB2988"/>
    <w:rsid w:val="00AB4DB4"/>
    <w:rsid w:val="00AB5546"/>
    <w:rsid w:val="00AB5D12"/>
    <w:rsid w:val="00AB7999"/>
    <w:rsid w:val="00AC144C"/>
    <w:rsid w:val="00AC3EAA"/>
    <w:rsid w:val="00AD182A"/>
    <w:rsid w:val="00AD3292"/>
    <w:rsid w:val="00AD640A"/>
    <w:rsid w:val="00AD651C"/>
    <w:rsid w:val="00AD78FD"/>
    <w:rsid w:val="00AE49A8"/>
    <w:rsid w:val="00AE6397"/>
    <w:rsid w:val="00AE7AF0"/>
    <w:rsid w:val="00AF1F30"/>
    <w:rsid w:val="00AF5B39"/>
    <w:rsid w:val="00AF62B4"/>
    <w:rsid w:val="00B02023"/>
    <w:rsid w:val="00B044C6"/>
    <w:rsid w:val="00B1504F"/>
    <w:rsid w:val="00B316F4"/>
    <w:rsid w:val="00B31F0C"/>
    <w:rsid w:val="00B3365D"/>
    <w:rsid w:val="00B350A9"/>
    <w:rsid w:val="00B35A1F"/>
    <w:rsid w:val="00B500CA"/>
    <w:rsid w:val="00B53D92"/>
    <w:rsid w:val="00B61BAC"/>
    <w:rsid w:val="00B62087"/>
    <w:rsid w:val="00B620EE"/>
    <w:rsid w:val="00B72DE8"/>
    <w:rsid w:val="00B86314"/>
    <w:rsid w:val="00B868E6"/>
    <w:rsid w:val="00BA1C2E"/>
    <w:rsid w:val="00BA3305"/>
    <w:rsid w:val="00BA412F"/>
    <w:rsid w:val="00BA453E"/>
    <w:rsid w:val="00BB5DBA"/>
    <w:rsid w:val="00BC200B"/>
    <w:rsid w:val="00BC2969"/>
    <w:rsid w:val="00BC4756"/>
    <w:rsid w:val="00BC69A4"/>
    <w:rsid w:val="00BC6E74"/>
    <w:rsid w:val="00BD0A36"/>
    <w:rsid w:val="00BD1A6B"/>
    <w:rsid w:val="00BD1D49"/>
    <w:rsid w:val="00BE0680"/>
    <w:rsid w:val="00BE2DA6"/>
    <w:rsid w:val="00BE305F"/>
    <w:rsid w:val="00BE36E5"/>
    <w:rsid w:val="00BE62B5"/>
    <w:rsid w:val="00BE7BA3"/>
    <w:rsid w:val="00BF5682"/>
    <w:rsid w:val="00BF7B09"/>
    <w:rsid w:val="00C02439"/>
    <w:rsid w:val="00C054E1"/>
    <w:rsid w:val="00C063D2"/>
    <w:rsid w:val="00C0652D"/>
    <w:rsid w:val="00C1575B"/>
    <w:rsid w:val="00C20A95"/>
    <w:rsid w:val="00C20EBE"/>
    <w:rsid w:val="00C217FB"/>
    <w:rsid w:val="00C2692F"/>
    <w:rsid w:val="00C3207C"/>
    <w:rsid w:val="00C348AE"/>
    <w:rsid w:val="00C35C8E"/>
    <w:rsid w:val="00C400E1"/>
    <w:rsid w:val="00C40259"/>
    <w:rsid w:val="00C40B11"/>
    <w:rsid w:val="00C41187"/>
    <w:rsid w:val="00C43D6B"/>
    <w:rsid w:val="00C44B54"/>
    <w:rsid w:val="00C53BE7"/>
    <w:rsid w:val="00C57B43"/>
    <w:rsid w:val="00C63BC2"/>
    <w:rsid w:val="00C63C31"/>
    <w:rsid w:val="00C7349D"/>
    <w:rsid w:val="00C757A0"/>
    <w:rsid w:val="00C760DE"/>
    <w:rsid w:val="00C82630"/>
    <w:rsid w:val="00C82AC0"/>
    <w:rsid w:val="00C85B4E"/>
    <w:rsid w:val="00C905BB"/>
    <w:rsid w:val="00C907F7"/>
    <w:rsid w:val="00C92729"/>
    <w:rsid w:val="00CA2103"/>
    <w:rsid w:val="00CA66C2"/>
    <w:rsid w:val="00CA78B8"/>
    <w:rsid w:val="00CB6B99"/>
    <w:rsid w:val="00CC68B0"/>
    <w:rsid w:val="00CD6438"/>
    <w:rsid w:val="00CE4C87"/>
    <w:rsid w:val="00CE544A"/>
    <w:rsid w:val="00CF2861"/>
    <w:rsid w:val="00CF45A1"/>
    <w:rsid w:val="00D01114"/>
    <w:rsid w:val="00D0204E"/>
    <w:rsid w:val="00D04CB0"/>
    <w:rsid w:val="00D06B05"/>
    <w:rsid w:val="00D11141"/>
    <w:rsid w:val="00D11E1C"/>
    <w:rsid w:val="00D11F77"/>
    <w:rsid w:val="00D12FA3"/>
    <w:rsid w:val="00D160B0"/>
    <w:rsid w:val="00D177AB"/>
    <w:rsid w:val="00D17F94"/>
    <w:rsid w:val="00D20A1A"/>
    <w:rsid w:val="00D223FC"/>
    <w:rsid w:val="00D23D3A"/>
    <w:rsid w:val="00D26D1E"/>
    <w:rsid w:val="00D27868"/>
    <w:rsid w:val="00D460CD"/>
    <w:rsid w:val="00D474CF"/>
    <w:rsid w:val="00D50A9C"/>
    <w:rsid w:val="00D5547E"/>
    <w:rsid w:val="00D6166F"/>
    <w:rsid w:val="00D6495D"/>
    <w:rsid w:val="00D664D2"/>
    <w:rsid w:val="00D777C2"/>
    <w:rsid w:val="00D81CEF"/>
    <w:rsid w:val="00D843C3"/>
    <w:rsid w:val="00D869A1"/>
    <w:rsid w:val="00D91DD2"/>
    <w:rsid w:val="00D92117"/>
    <w:rsid w:val="00D92DD4"/>
    <w:rsid w:val="00D938EC"/>
    <w:rsid w:val="00D94D96"/>
    <w:rsid w:val="00DA3E3D"/>
    <w:rsid w:val="00DA413F"/>
    <w:rsid w:val="00DA4584"/>
    <w:rsid w:val="00DA614B"/>
    <w:rsid w:val="00DB1B80"/>
    <w:rsid w:val="00DB27EA"/>
    <w:rsid w:val="00DB3586"/>
    <w:rsid w:val="00DB405A"/>
    <w:rsid w:val="00DB773D"/>
    <w:rsid w:val="00DC0F14"/>
    <w:rsid w:val="00DC2E03"/>
    <w:rsid w:val="00DC3060"/>
    <w:rsid w:val="00DC5214"/>
    <w:rsid w:val="00DC61EC"/>
    <w:rsid w:val="00DC6D17"/>
    <w:rsid w:val="00DD136C"/>
    <w:rsid w:val="00DD45BC"/>
    <w:rsid w:val="00DE0FB2"/>
    <w:rsid w:val="00DE12F5"/>
    <w:rsid w:val="00DF093E"/>
    <w:rsid w:val="00E01F42"/>
    <w:rsid w:val="00E13656"/>
    <w:rsid w:val="00E14D46"/>
    <w:rsid w:val="00E17C83"/>
    <w:rsid w:val="00E206D6"/>
    <w:rsid w:val="00E21747"/>
    <w:rsid w:val="00E23519"/>
    <w:rsid w:val="00E256BE"/>
    <w:rsid w:val="00E30BB3"/>
    <w:rsid w:val="00E30EF2"/>
    <w:rsid w:val="00E3318B"/>
    <w:rsid w:val="00E3366E"/>
    <w:rsid w:val="00E339B7"/>
    <w:rsid w:val="00E34794"/>
    <w:rsid w:val="00E37600"/>
    <w:rsid w:val="00E52086"/>
    <w:rsid w:val="00E543A6"/>
    <w:rsid w:val="00E60479"/>
    <w:rsid w:val="00E61D73"/>
    <w:rsid w:val="00E66993"/>
    <w:rsid w:val="00E73684"/>
    <w:rsid w:val="00E818D6"/>
    <w:rsid w:val="00E87F7A"/>
    <w:rsid w:val="00E96BD7"/>
    <w:rsid w:val="00EA0DB1"/>
    <w:rsid w:val="00EA0EE9"/>
    <w:rsid w:val="00EA1336"/>
    <w:rsid w:val="00EA29B5"/>
    <w:rsid w:val="00EB5425"/>
    <w:rsid w:val="00EB5B71"/>
    <w:rsid w:val="00EB7D34"/>
    <w:rsid w:val="00EB7F46"/>
    <w:rsid w:val="00EC6554"/>
    <w:rsid w:val="00EC7BFC"/>
    <w:rsid w:val="00ED52CA"/>
    <w:rsid w:val="00ED5860"/>
    <w:rsid w:val="00EE1528"/>
    <w:rsid w:val="00EE35C9"/>
    <w:rsid w:val="00EE36FD"/>
    <w:rsid w:val="00EE52AC"/>
    <w:rsid w:val="00EF43CD"/>
    <w:rsid w:val="00F04261"/>
    <w:rsid w:val="00F05ECA"/>
    <w:rsid w:val="00F0637E"/>
    <w:rsid w:val="00F11964"/>
    <w:rsid w:val="00F12BCD"/>
    <w:rsid w:val="00F13EB5"/>
    <w:rsid w:val="00F15025"/>
    <w:rsid w:val="00F229B8"/>
    <w:rsid w:val="00F3088F"/>
    <w:rsid w:val="00F3566E"/>
    <w:rsid w:val="00F375FB"/>
    <w:rsid w:val="00F41AC1"/>
    <w:rsid w:val="00F4367A"/>
    <w:rsid w:val="00F445B1"/>
    <w:rsid w:val="00F45CD4"/>
    <w:rsid w:val="00F524C3"/>
    <w:rsid w:val="00F537FC"/>
    <w:rsid w:val="00F544BC"/>
    <w:rsid w:val="00F669C6"/>
    <w:rsid w:val="00F66DCA"/>
    <w:rsid w:val="00F73D39"/>
    <w:rsid w:val="00F74F53"/>
    <w:rsid w:val="00F7606D"/>
    <w:rsid w:val="00F81670"/>
    <w:rsid w:val="00F82024"/>
    <w:rsid w:val="00F8225B"/>
    <w:rsid w:val="00F937BE"/>
    <w:rsid w:val="00F95BC9"/>
    <w:rsid w:val="00F972F7"/>
    <w:rsid w:val="00F979EC"/>
    <w:rsid w:val="00FA165B"/>
    <w:rsid w:val="00FA3091"/>
    <w:rsid w:val="00FA624C"/>
    <w:rsid w:val="00FB2B61"/>
    <w:rsid w:val="00FB5DE4"/>
    <w:rsid w:val="00FB7646"/>
    <w:rsid w:val="00FB783B"/>
    <w:rsid w:val="00FB7F38"/>
    <w:rsid w:val="00FC14FA"/>
    <w:rsid w:val="00FC2362"/>
    <w:rsid w:val="00FC269F"/>
    <w:rsid w:val="00FC29CC"/>
    <w:rsid w:val="00FC2D4C"/>
    <w:rsid w:val="00FD0FAC"/>
    <w:rsid w:val="00FD0FE4"/>
    <w:rsid w:val="00FD1DFA"/>
    <w:rsid w:val="00FD2AD3"/>
    <w:rsid w:val="00FD48C9"/>
    <w:rsid w:val="00FD4966"/>
    <w:rsid w:val="00FE0854"/>
    <w:rsid w:val="00FE1DFA"/>
    <w:rsid w:val="00FE2377"/>
    <w:rsid w:val="00FE4EB1"/>
    <w:rsid w:val="00FE57DC"/>
    <w:rsid w:val="00FE7376"/>
    <w:rsid w:val="00FE7D80"/>
    <w:rsid w:val="00FF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CE69FED1-D55B-4426-846D-9944FF50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38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qFormat/>
    <w:rsid w:val="00C92729"/>
    <w:rPr>
      <w:i/>
      <w:iCs/>
    </w:rPr>
  </w:style>
  <w:style w:type="table" w:customStyle="1" w:styleId="TableGrid1">
    <w:name w:val="Table Grid1"/>
    <w:basedOn w:val="TableNormal"/>
    <w:next w:val="TableGrid"/>
    <w:rsid w:val="00FB7F38"/>
    <w:rPr>
      <w:rFonts w:eastAsiaTheme="minorHAnsi"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0B10"/>
    <w:pPr>
      <w:autoSpaceDE w:val="0"/>
      <w:autoSpaceDN w:val="0"/>
      <w:adjustRightInd w:val="0"/>
    </w:pPr>
    <w:rPr>
      <w:rFonts w:cs="Arial"/>
      <w:color w:val="000000"/>
      <w:sz w:val="24"/>
      <w:szCs w:val="24"/>
    </w:rPr>
  </w:style>
  <w:style w:type="character" w:customStyle="1" w:styleId="FooterChar">
    <w:name w:val="Footer Char"/>
    <w:aliases w:val="zzFooter Char"/>
    <w:basedOn w:val="DefaultParagraphFont"/>
    <w:link w:val="Footer"/>
    <w:uiPriority w:val="99"/>
    <w:rsid w:val="00702F10"/>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3241">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87863391">
      <w:bodyDiv w:val="1"/>
      <w:marLeft w:val="0"/>
      <w:marRight w:val="0"/>
      <w:marTop w:val="0"/>
      <w:marBottom w:val="0"/>
      <w:divBdr>
        <w:top w:val="none" w:sz="0" w:space="0" w:color="auto"/>
        <w:left w:val="none" w:sz="0" w:space="0" w:color="auto"/>
        <w:bottom w:val="none" w:sz="0" w:space="0" w:color="auto"/>
        <w:right w:val="none" w:sz="0" w:space="0" w:color="auto"/>
      </w:divBdr>
    </w:div>
    <w:div w:id="5642241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679598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0662067">
      <w:bodyDiv w:val="1"/>
      <w:marLeft w:val="0"/>
      <w:marRight w:val="0"/>
      <w:marTop w:val="0"/>
      <w:marBottom w:val="0"/>
      <w:divBdr>
        <w:top w:val="none" w:sz="0" w:space="0" w:color="auto"/>
        <w:left w:val="none" w:sz="0" w:space="0" w:color="auto"/>
        <w:bottom w:val="none" w:sz="0" w:space="0" w:color="auto"/>
        <w:right w:val="none" w:sz="0" w:space="0" w:color="auto"/>
      </w:divBdr>
    </w:div>
    <w:div w:id="846672965">
      <w:bodyDiv w:val="1"/>
      <w:marLeft w:val="0"/>
      <w:marRight w:val="0"/>
      <w:marTop w:val="0"/>
      <w:marBottom w:val="0"/>
      <w:divBdr>
        <w:top w:val="none" w:sz="0" w:space="0" w:color="auto"/>
        <w:left w:val="none" w:sz="0" w:space="0" w:color="auto"/>
        <w:bottom w:val="none" w:sz="0" w:space="0" w:color="auto"/>
        <w:right w:val="none" w:sz="0" w:space="0" w:color="auto"/>
      </w:divBdr>
    </w:div>
    <w:div w:id="86285996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8877393">
      <w:bodyDiv w:val="1"/>
      <w:marLeft w:val="0"/>
      <w:marRight w:val="0"/>
      <w:marTop w:val="0"/>
      <w:marBottom w:val="0"/>
      <w:divBdr>
        <w:top w:val="none" w:sz="0" w:space="0" w:color="auto"/>
        <w:left w:val="none" w:sz="0" w:space="0" w:color="auto"/>
        <w:bottom w:val="none" w:sz="0" w:space="0" w:color="auto"/>
        <w:right w:val="none" w:sz="0" w:space="0" w:color="auto"/>
      </w:divBdr>
    </w:div>
    <w:div w:id="1018582909">
      <w:bodyDiv w:val="1"/>
      <w:marLeft w:val="0"/>
      <w:marRight w:val="0"/>
      <w:marTop w:val="0"/>
      <w:marBottom w:val="0"/>
      <w:divBdr>
        <w:top w:val="none" w:sz="0" w:space="0" w:color="auto"/>
        <w:left w:val="none" w:sz="0" w:space="0" w:color="auto"/>
        <w:bottom w:val="none" w:sz="0" w:space="0" w:color="auto"/>
        <w:right w:val="none" w:sz="0" w:space="0" w:color="auto"/>
      </w:divBdr>
    </w:div>
    <w:div w:id="1067188812">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1486671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32570383">
      <w:bodyDiv w:val="1"/>
      <w:marLeft w:val="0"/>
      <w:marRight w:val="0"/>
      <w:marTop w:val="0"/>
      <w:marBottom w:val="0"/>
      <w:divBdr>
        <w:top w:val="none" w:sz="0" w:space="0" w:color="auto"/>
        <w:left w:val="none" w:sz="0" w:space="0" w:color="auto"/>
        <w:bottom w:val="none" w:sz="0" w:space="0" w:color="auto"/>
        <w:right w:val="none" w:sz="0" w:space="0" w:color="auto"/>
      </w:divBdr>
    </w:div>
    <w:div w:id="1602107025">
      <w:bodyDiv w:val="1"/>
      <w:marLeft w:val="0"/>
      <w:marRight w:val="0"/>
      <w:marTop w:val="0"/>
      <w:marBottom w:val="0"/>
      <w:divBdr>
        <w:top w:val="none" w:sz="0" w:space="0" w:color="auto"/>
        <w:left w:val="none" w:sz="0" w:space="0" w:color="auto"/>
        <w:bottom w:val="none" w:sz="0" w:space="0" w:color="auto"/>
        <w:right w:val="none" w:sz="0" w:space="0" w:color="auto"/>
      </w:divBdr>
    </w:div>
    <w:div w:id="2027750457">
      <w:bodyDiv w:val="1"/>
      <w:marLeft w:val="0"/>
      <w:marRight w:val="0"/>
      <w:marTop w:val="0"/>
      <w:marBottom w:val="0"/>
      <w:divBdr>
        <w:top w:val="none" w:sz="0" w:space="0" w:color="auto"/>
        <w:left w:val="none" w:sz="0" w:space="0" w:color="auto"/>
        <w:bottom w:val="none" w:sz="0" w:space="0" w:color="auto"/>
        <w:right w:val="none" w:sz="0" w:space="0" w:color="auto"/>
      </w:divBdr>
    </w:div>
    <w:div w:id="2094467796">
      <w:bodyDiv w:val="1"/>
      <w:marLeft w:val="0"/>
      <w:marRight w:val="0"/>
      <w:marTop w:val="0"/>
      <w:marBottom w:val="0"/>
      <w:divBdr>
        <w:top w:val="none" w:sz="0" w:space="0" w:color="auto"/>
        <w:left w:val="none" w:sz="0" w:space="0" w:color="auto"/>
        <w:bottom w:val="none" w:sz="0" w:space="0" w:color="auto"/>
        <w:right w:val="none" w:sz="0" w:space="0" w:color="auto"/>
      </w:divBdr>
    </w:div>
    <w:div w:id="21005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FE153-62E2-4D27-A989-018D8083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FA5BC371</Template>
  <TotalTime>1</TotalTime>
  <Pages>4</Pages>
  <Words>1042</Words>
  <Characters>5430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cphythian</dc:creator>
  <cp:lastModifiedBy>TYRELL Lucy</cp:lastModifiedBy>
  <cp:revision>2</cp:revision>
  <cp:lastPrinted>2019-08-28T11:12:00Z</cp:lastPrinted>
  <dcterms:created xsi:type="dcterms:W3CDTF">2022-10-25T16:39:00Z</dcterms:created>
  <dcterms:modified xsi:type="dcterms:W3CDTF">2022-10-25T16:39:00Z</dcterms:modified>
</cp:coreProperties>
</file>